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F179" w14:textId="77777777" w:rsidR="009D243A" w:rsidRPr="00E069AF" w:rsidRDefault="009D243A" w:rsidP="009D243A">
      <w:pPr>
        <w:tabs>
          <w:tab w:val="right" w:pos="6195"/>
        </w:tabs>
        <w:spacing w:line="288" w:lineRule="auto"/>
        <w:rPr>
          <w:rFonts w:ascii="Arial" w:hAnsi="Arial" w:cs="Arial"/>
          <w:b/>
          <w:color w:val="000000" w:themeColor="text1"/>
          <w:sz w:val="36"/>
          <w:szCs w:val="36"/>
        </w:rPr>
      </w:pPr>
      <w:r w:rsidRPr="00E069AF">
        <w:rPr>
          <w:rFonts w:ascii="Arial" w:hAnsi="Arial" w:cs="Arial"/>
          <w:b/>
          <w:color w:val="000000" w:themeColor="text1"/>
          <w:sz w:val="36"/>
          <w:szCs w:val="36"/>
        </w:rPr>
        <w:t>Halbjahresbilanz 2019:</w:t>
      </w:r>
    </w:p>
    <w:p w14:paraId="15809024" w14:textId="77777777" w:rsidR="009D243A" w:rsidRPr="00E069AF" w:rsidRDefault="009D243A" w:rsidP="009D243A">
      <w:pPr>
        <w:tabs>
          <w:tab w:val="right" w:pos="6195"/>
        </w:tabs>
        <w:spacing w:line="288" w:lineRule="auto"/>
        <w:rPr>
          <w:rFonts w:ascii="Arial" w:hAnsi="Arial" w:cs="Arial"/>
          <w:b/>
          <w:color w:val="000000" w:themeColor="text1"/>
          <w:sz w:val="36"/>
          <w:szCs w:val="36"/>
        </w:rPr>
      </w:pPr>
      <w:r w:rsidRPr="00E069AF">
        <w:rPr>
          <w:rFonts w:ascii="Arial" w:hAnsi="Arial" w:cs="Arial"/>
          <w:b/>
          <w:color w:val="000000" w:themeColor="text1"/>
          <w:sz w:val="36"/>
          <w:szCs w:val="36"/>
        </w:rPr>
        <w:t>Rekord-Cashflow bestätigt Portfolio- Strategie und interne Strukturreform</w:t>
      </w:r>
    </w:p>
    <w:p w14:paraId="00267F1D" w14:textId="77777777" w:rsidR="009D243A" w:rsidRPr="00E069AF" w:rsidRDefault="009D243A" w:rsidP="009D243A">
      <w:pPr>
        <w:tabs>
          <w:tab w:val="right" w:pos="6195"/>
        </w:tabs>
        <w:spacing w:line="288" w:lineRule="auto"/>
        <w:rPr>
          <w:rFonts w:ascii="Arial" w:hAnsi="Arial" w:cs="Arial"/>
          <w:color w:val="000000" w:themeColor="text1"/>
          <w:szCs w:val="18"/>
        </w:rPr>
      </w:pPr>
    </w:p>
    <w:p w14:paraId="5FE71A54" w14:textId="77777777" w:rsidR="009D243A" w:rsidRPr="00E069AF" w:rsidRDefault="009D243A" w:rsidP="009D243A">
      <w:pPr>
        <w:tabs>
          <w:tab w:val="right" w:pos="6195"/>
        </w:tabs>
        <w:spacing w:line="288" w:lineRule="auto"/>
        <w:rPr>
          <w:rFonts w:ascii="Arial" w:hAnsi="Arial" w:cs="Arial"/>
          <w:color w:val="000000" w:themeColor="text1"/>
          <w:szCs w:val="18"/>
        </w:rPr>
      </w:pPr>
    </w:p>
    <w:p w14:paraId="3FE9FB75" w14:textId="77777777" w:rsidR="009D243A" w:rsidRPr="00E069AF" w:rsidRDefault="009D243A" w:rsidP="009D243A">
      <w:pPr>
        <w:tabs>
          <w:tab w:val="right" w:pos="6195"/>
        </w:tabs>
        <w:spacing w:line="288" w:lineRule="auto"/>
        <w:jc w:val="both"/>
        <w:rPr>
          <w:rFonts w:ascii="Arial" w:hAnsi="Arial" w:cs="Arial"/>
          <w:color w:val="000000" w:themeColor="text1"/>
          <w:sz w:val="22"/>
          <w:szCs w:val="22"/>
        </w:rPr>
      </w:pPr>
      <w:r w:rsidRPr="00E069AF">
        <w:rPr>
          <w:rFonts w:ascii="Arial" w:hAnsi="Arial" w:cs="Arial"/>
          <w:color w:val="000000" w:themeColor="text1"/>
          <w:sz w:val="22"/>
          <w:szCs w:val="22"/>
        </w:rPr>
        <w:t>Tiefgreifende Reformen und erhöhte Flexibilität zahlen sich aus +++ Mehr als 5 Milliarden RMB Umsatz im 1. Halbjahr 2019 +++ Rekord-Cashflow aus dem operativen Geschäft +++ 22,5 % Umsatzplus der vollelektrischen Baureihen +++ 44,1 % Umsatzplus der Zwei-Platten-Technologie +++ Weitere Management-Innovationen angekündigt</w:t>
      </w:r>
    </w:p>
    <w:p w14:paraId="0E6091CC" w14:textId="77777777" w:rsidR="009D243A" w:rsidRPr="00E069AF" w:rsidRDefault="009D243A" w:rsidP="009D243A">
      <w:pPr>
        <w:tabs>
          <w:tab w:val="right" w:pos="6195"/>
        </w:tabs>
        <w:spacing w:line="288" w:lineRule="auto"/>
        <w:rPr>
          <w:rFonts w:ascii="Arial" w:hAnsi="Arial" w:cs="Arial"/>
          <w:color w:val="000000" w:themeColor="text1"/>
          <w:szCs w:val="18"/>
        </w:rPr>
      </w:pPr>
    </w:p>
    <w:p w14:paraId="29C5EDDE" w14:textId="77777777" w:rsidR="009D243A" w:rsidRPr="00E069AF" w:rsidRDefault="009D243A" w:rsidP="009D243A">
      <w:pPr>
        <w:tabs>
          <w:tab w:val="right" w:pos="6195"/>
        </w:tabs>
        <w:spacing w:line="288" w:lineRule="auto"/>
        <w:rPr>
          <w:rFonts w:ascii="Arial" w:hAnsi="Arial" w:cs="Arial"/>
          <w:color w:val="000000" w:themeColor="text1"/>
          <w:szCs w:val="18"/>
        </w:rPr>
      </w:pPr>
    </w:p>
    <w:p w14:paraId="29431E50"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b/>
          <w:color w:val="000000" w:themeColor="text1"/>
          <w:szCs w:val="18"/>
        </w:rPr>
        <w:t>26. August 2019, Hongkong.</w:t>
      </w:r>
      <w:r w:rsidRPr="00E069AF">
        <w:rPr>
          <w:rFonts w:ascii="Arial" w:hAnsi="Arial" w:cs="Arial"/>
          <w:color w:val="000000" w:themeColor="text1"/>
          <w:szCs w:val="18"/>
        </w:rPr>
        <w:t xml:space="preserve">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Holdings Limited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zusammen mit Tochter- und Beteiligungsgesellschaften als "die Gruppe" bezeichnet; Aktiencode: 1882), einer der weltweit größten Hersteller von Kunststoff-Spritzgießmaschinen, gibt seine (ungeprüften) Zwischenergebnisse für den Zeitraum vom 1. Januar bis 30. Juni 2019 bekannt.</w:t>
      </w:r>
    </w:p>
    <w:p w14:paraId="0EEEB38A" w14:textId="77777777" w:rsidR="009D243A" w:rsidRPr="00E069AF" w:rsidRDefault="009D243A" w:rsidP="009D243A">
      <w:pPr>
        <w:tabs>
          <w:tab w:val="right" w:pos="6195"/>
        </w:tabs>
        <w:spacing w:line="288" w:lineRule="auto"/>
        <w:rPr>
          <w:rFonts w:ascii="Arial" w:hAnsi="Arial" w:cs="Arial"/>
          <w:color w:val="000000" w:themeColor="text1"/>
          <w:szCs w:val="18"/>
        </w:rPr>
      </w:pPr>
    </w:p>
    <w:tbl>
      <w:tblPr>
        <w:tblW w:w="753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42"/>
        <w:gridCol w:w="1283"/>
        <w:gridCol w:w="1454"/>
        <w:gridCol w:w="1454"/>
      </w:tblGrid>
      <w:tr w:rsidR="009D243A" w:rsidRPr="00E069AF" w14:paraId="3530AF6D" w14:textId="77777777" w:rsidTr="004B4DED">
        <w:trPr>
          <w:trHeight w:val="643"/>
        </w:trPr>
        <w:tc>
          <w:tcPr>
            <w:tcW w:w="3342" w:type="dxa"/>
          </w:tcPr>
          <w:p w14:paraId="766A6BC1" w14:textId="77777777" w:rsidR="009D243A" w:rsidRPr="00E069AF" w:rsidRDefault="009D243A" w:rsidP="004B4DED">
            <w:pPr>
              <w:snapToGrid w:val="0"/>
              <w:spacing w:line="0" w:lineRule="atLeast"/>
              <w:jc w:val="both"/>
              <w:rPr>
                <w:rFonts w:ascii="Arial" w:eastAsia="SimSun" w:hAnsi="Arial" w:cs="Arial"/>
                <w:b/>
                <w:i/>
                <w:iCs/>
                <w:color w:val="000000" w:themeColor="text1"/>
                <w:sz w:val="16"/>
                <w:szCs w:val="16"/>
              </w:rPr>
            </w:pPr>
            <w:r w:rsidRPr="00E069AF">
              <w:rPr>
                <w:rFonts w:ascii="Arial" w:hAnsi="Arial" w:cs="Arial"/>
                <w:b/>
                <w:i/>
                <w:iCs/>
                <w:color w:val="000000" w:themeColor="text1"/>
                <w:sz w:val="16"/>
                <w:szCs w:val="16"/>
              </w:rPr>
              <w:t>Financial Highlights (RMB Million)</w:t>
            </w:r>
          </w:p>
        </w:tc>
        <w:tc>
          <w:tcPr>
            <w:tcW w:w="1283" w:type="dxa"/>
          </w:tcPr>
          <w:p w14:paraId="6BB4B4E9" w14:textId="77777777" w:rsidR="009D243A" w:rsidRPr="00E069AF" w:rsidRDefault="009D243A" w:rsidP="004B4DED">
            <w:pPr>
              <w:snapToGrid w:val="0"/>
              <w:spacing w:line="0" w:lineRule="atLeast"/>
              <w:ind w:rightChars="110" w:right="209"/>
              <w:jc w:val="right"/>
              <w:rPr>
                <w:rFonts w:ascii="Arial" w:eastAsia="SimSun" w:hAnsi="Arial" w:cs="Arial"/>
                <w:b/>
                <w:bCs/>
                <w:color w:val="000000" w:themeColor="text1"/>
                <w:sz w:val="16"/>
                <w:szCs w:val="16"/>
              </w:rPr>
            </w:pPr>
            <w:r w:rsidRPr="00E069AF">
              <w:rPr>
                <w:rFonts w:ascii="Arial" w:hAnsi="Arial" w:cs="Arial"/>
                <w:b/>
                <w:bCs/>
                <w:color w:val="000000" w:themeColor="text1"/>
                <w:sz w:val="16"/>
                <w:szCs w:val="16"/>
              </w:rPr>
              <w:t>2019</w:t>
            </w:r>
          </w:p>
        </w:tc>
        <w:tc>
          <w:tcPr>
            <w:tcW w:w="1454" w:type="dxa"/>
          </w:tcPr>
          <w:p w14:paraId="0E8D3AC5" w14:textId="77777777" w:rsidR="009D243A" w:rsidRPr="00E069AF" w:rsidRDefault="009D243A" w:rsidP="004B4DED">
            <w:pPr>
              <w:snapToGrid w:val="0"/>
              <w:spacing w:line="0" w:lineRule="atLeast"/>
              <w:ind w:rightChars="110" w:right="209"/>
              <w:jc w:val="right"/>
              <w:rPr>
                <w:rFonts w:ascii="Arial" w:eastAsia="SimSun" w:hAnsi="Arial" w:cs="Arial"/>
                <w:bCs/>
                <w:color w:val="000000" w:themeColor="text1"/>
                <w:sz w:val="16"/>
                <w:szCs w:val="16"/>
              </w:rPr>
            </w:pPr>
            <w:r w:rsidRPr="00E069AF">
              <w:rPr>
                <w:rFonts w:ascii="Arial" w:hAnsi="Arial" w:cs="Arial"/>
                <w:bCs/>
                <w:color w:val="000000" w:themeColor="text1"/>
                <w:sz w:val="16"/>
                <w:szCs w:val="16"/>
              </w:rPr>
              <w:t>2018</w:t>
            </w:r>
          </w:p>
        </w:tc>
        <w:tc>
          <w:tcPr>
            <w:tcW w:w="1454" w:type="dxa"/>
          </w:tcPr>
          <w:p w14:paraId="5B144F3D" w14:textId="77777777" w:rsidR="009D243A" w:rsidRPr="00E069AF" w:rsidRDefault="009D243A" w:rsidP="004B4DED">
            <w:pPr>
              <w:snapToGrid w:val="0"/>
              <w:spacing w:line="0" w:lineRule="atLeast"/>
              <w:ind w:rightChars="106" w:right="201"/>
              <w:jc w:val="right"/>
              <w:rPr>
                <w:rFonts w:ascii="Arial" w:eastAsia="SimSun" w:hAnsi="Arial" w:cs="Arial"/>
                <w:b/>
                <w:iCs/>
                <w:color w:val="000000" w:themeColor="text1"/>
                <w:sz w:val="16"/>
                <w:szCs w:val="16"/>
              </w:rPr>
            </w:pPr>
            <w:r w:rsidRPr="00E069AF">
              <w:rPr>
                <w:rFonts w:ascii="Arial" w:hAnsi="Arial" w:cs="Arial"/>
                <w:b/>
                <w:color w:val="000000" w:themeColor="text1"/>
                <w:sz w:val="16"/>
                <w:szCs w:val="16"/>
              </w:rPr>
              <w:t>Change</w:t>
            </w:r>
          </w:p>
        </w:tc>
      </w:tr>
      <w:tr w:rsidR="009D243A" w:rsidRPr="00E069AF" w14:paraId="3B0854F8" w14:textId="77777777" w:rsidTr="004B4DED">
        <w:trPr>
          <w:trHeight w:val="213"/>
        </w:trPr>
        <w:tc>
          <w:tcPr>
            <w:tcW w:w="3342" w:type="dxa"/>
          </w:tcPr>
          <w:p w14:paraId="27C6C164" w14:textId="77777777" w:rsidR="009D243A" w:rsidRPr="00E069AF" w:rsidRDefault="009D243A" w:rsidP="004B4DED">
            <w:pPr>
              <w:snapToGrid w:val="0"/>
              <w:spacing w:line="0" w:lineRule="atLeast"/>
              <w:jc w:val="both"/>
              <w:rPr>
                <w:rFonts w:ascii="Arial" w:eastAsia="SimSun" w:hAnsi="Arial" w:cs="Arial"/>
                <w:iCs/>
                <w:color w:val="000000" w:themeColor="text1"/>
                <w:sz w:val="16"/>
                <w:szCs w:val="16"/>
              </w:rPr>
            </w:pPr>
            <w:r w:rsidRPr="00E069AF">
              <w:rPr>
                <w:rFonts w:ascii="Arial" w:hAnsi="Arial" w:cs="Arial"/>
                <w:iCs/>
                <w:color w:val="000000" w:themeColor="text1"/>
                <w:sz w:val="16"/>
                <w:szCs w:val="16"/>
                <w:lang w:eastAsia="zh-CN"/>
              </w:rPr>
              <w:t>Revenue</w:t>
            </w:r>
          </w:p>
        </w:tc>
        <w:tc>
          <w:tcPr>
            <w:tcW w:w="1283" w:type="dxa"/>
          </w:tcPr>
          <w:p w14:paraId="0EF5D62C" w14:textId="77777777" w:rsidR="009D243A" w:rsidRPr="00E069AF" w:rsidRDefault="009D243A" w:rsidP="004B4DED">
            <w:pPr>
              <w:snapToGrid w:val="0"/>
              <w:spacing w:line="0" w:lineRule="atLeast"/>
              <w:ind w:rightChars="110" w:right="209"/>
              <w:jc w:val="right"/>
              <w:rPr>
                <w:rFonts w:ascii="Arial" w:hAnsi="Arial" w:cs="Arial"/>
                <w:b/>
                <w:bCs/>
                <w:iCs/>
                <w:color w:val="000000" w:themeColor="text1"/>
                <w:sz w:val="16"/>
                <w:szCs w:val="16"/>
                <w:lang w:eastAsia="zh-CN"/>
              </w:rPr>
            </w:pPr>
            <w:r w:rsidRPr="00E069AF">
              <w:rPr>
                <w:rFonts w:ascii="Arial" w:hAnsi="Arial" w:cs="Arial"/>
                <w:b/>
                <w:bCs/>
                <w:iCs/>
                <w:color w:val="000000" w:themeColor="text1"/>
                <w:sz w:val="16"/>
                <w:szCs w:val="16"/>
              </w:rPr>
              <w:t>5,008.9</w:t>
            </w:r>
          </w:p>
        </w:tc>
        <w:tc>
          <w:tcPr>
            <w:tcW w:w="1454" w:type="dxa"/>
          </w:tcPr>
          <w:p w14:paraId="08261C59" w14:textId="77777777" w:rsidR="009D243A" w:rsidRPr="00E069AF" w:rsidRDefault="009D243A" w:rsidP="004B4DED">
            <w:pPr>
              <w:snapToGrid w:val="0"/>
              <w:spacing w:line="0" w:lineRule="atLeast"/>
              <w:ind w:rightChars="110" w:right="209"/>
              <w:jc w:val="right"/>
              <w:rPr>
                <w:rFonts w:ascii="Arial" w:eastAsia="SimSun" w:hAnsi="Arial" w:cs="Arial"/>
                <w:bCs/>
                <w:iCs/>
                <w:color w:val="000000" w:themeColor="text1"/>
                <w:sz w:val="16"/>
                <w:szCs w:val="16"/>
                <w:lang w:eastAsia="zh-CN"/>
              </w:rPr>
            </w:pPr>
            <w:r w:rsidRPr="00E069AF">
              <w:rPr>
                <w:rFonts w:ascii="Arial" w:hAnsi="Arial" w:cs="Arial"/>
                <w:bCs/>
                <w:iCs/>
                <w:color w:val="000000" w:themeColor="text1"/>
                <w:sz w:val="16"/>
                <w:szCs w:val="16"/>
              </w:rPr>
              <w:t>5,877.4</w:t>
            </w:r>
          </w:p>
        </w:tc>
        <w:tc>
          <w:tcPr>
            <w:tcW w:w="1454" w:type="dxa"/>
          </w:tcPr>
          <w:p w14:paraId="391A24F3" w14:textId="77777777" w:rsidR="009D243A" w:rsidRPr="00E069AF" w:rsidRDefault="009D243A" w:rsidP="004B4DED">
            <w:pPr>
              <w:snapToGrid w:val="0"/>
              <w:spacing w:line="0" w:lineRule="atLeast"/>
              <w:ind w:rightChars="110" w:right="209"/>
              <w:jc w:val="right"/>
              <w:rPr>
                <w:rFonts w:ascii="Arial" w:eastAsia="SimSun" w:hAnsi="Arial" w:cs="Arial"/>
                <w:iCs/>
                <w:color w:val="000000" w:themeColor="text1"/>
                <w:sz w:val="16"/>
                <w:szCs w:val="16"/>
              </w:rPr>
            </w:pPr>
            <w:r w:rsidRPr="00E069AF">
              <w:rPr>
                <w:rFonts w:ascii="Arial" w:hAnsi="Arial" w:cs="Arial"/>
                <w:iCs/>
                <w:color w:val="000000" w:themeColor="text1"/>
                <w:sz w:val="16"/>
                <w:szCs w:val="16"/>
              </w:rPr>
              <w:t>-14.8%</w:t>
            </w:r>
          </w:p>
        </w:tc>
      </w:tr>
      <w:tr w:rsidR="009D243A" w:rsidRPr="00E069AF" w14:paraId="466896B5" w14:textId="77777777" w:rsidTr="004B4DED">
        <w:trPr>
          <w:trHeight w:val="213"/>
        </w:trPr>
        <w:tc>
          <w:tcPr>
            <w:tcW w:w="3342" w:type="dxa"/>
          </w:tcPr>
          <w:p w14:paraId="49B08E00" w14:textId="77777777" w:rsidR="009D243A" w:rsidRPr="00E069AF" w:rsidRDefault="009D243A" w:rsidP="004B4DED">
            <w:pPr>
              <w:snapToGrid w:val="0"/>
              <w:spacing w:line="0" w:lineRule="atLeast"/>
              <w:jc w:val="both"/>
              <w:rPr>
                <w:rFonts w:ascii="Arial" w:eastAsia="SimSun" w:hAnsi="Arial" w:cs="Arial"/>
                <w:iCs/>
                <w:color w:val="000000" w:themeColor="text1"/>
                <w:sz w:val="16"/>
                <w:szCs w:val="16"/>
              </w:rPr>
            </w:pPr>
            <w:proofErr w:type="spellStart"/>
            <w:r w:rsidRPr="00E069AF">
              <w:rPr>
                <w:rFonts w:ascii="Arial" w:hAnsi="Arial" w:cs="Arial"/>
                <w:iCs/>
                <w:color w:val="000000" w:themeColor="text1"/>
                <w:sz w:val="16"/>
                <w:szCs w:val="16"/>
              </w:rPr>
              <w:t>Gross</w:t>
            </w:r>
            <w:proofErr w:type="spellEnd"/>
            <w:r w:rsidRPr="00E069AF">
              <w:rPr>
                <w:rFonts w:ascii="Arial" w:hAnsi="Arial" w:cs="Arial"/>
                <w:iCs/>
                <w:color w:val="000000" w:themeColor="text1"/>
                <w:sz w:val="16"/>
                <w:szCs w:val="16"/>
              </w:rPr>
              <w:t xml:space="preserve"> </w:t>
            </w:r>
            <w:proofErr w:type="spellStart"/>
            <w:r w:rsidRPr="00E069AF">
              <w:rPr>
                <w:rFonts w:ascii="Arial" w:hAnsi="Arial" w:cs="Arial"/>
                <w:iCs/>
                <w:color w:val="000000" w:themeColor="text1"/>
                <w:sz w:val="16"/>
                <w:szCs w:val="16"/>
              </w:rPr>
              <w:t>profit</w:t>
            </w:r>
            <w:proofErr w:type="spellEnd"/>
          </w:p>
        </w:tc>
        <w:tc>
          <w:tcPr>
            <w:tcW w:w="1283" w:type="dxa"/>
          </w:tcPr>
          <w:p w14:paraId="15448306" w14:textId="77777777" w:rsidR="009D243A" w:rsidRPr="00E069AF" w:rsidRDefault="009D243A" w:rsidP="004B4DED">
            <w:pPr>
              <w:snapToGrid w:val="0"/>
              <w:spacing w:line="0" w:lineRule="atLeast"/>
              <w:ind w:rightChars="110" w:right="209"/>
              <w:jc w:val="right"/>
              <w:rPr>
                <w:rFonts w:ascii="Arial" w:eastAsia="SimSun" w:hAnsi="Arial" w:cs="Arial"/>
                <w:b/>
                <w:bCs/>
                <w:iCs/>
                <w:color w:val="000000" w:themeColor="text1"/>
                <w:sz w:val="16"/>
                <w:szCs w:val="16"/>
                <w:lang w:eastAsia="zh-CN"/>
              </w:rPr>
            </w:pPr>
            <w:r w:rsidRPr="00E069AF">
              <w:rPr>
                <w:rFonts w:ascii="Arial" w:hAnsi="Arial" w:cs="Arial"/>
                <w:b/>
                <w:bCs/>
                <w:iCs/>
                <w:color w:val="000000" w:themeColor="text1"/>
                <w:sz w:val="16"/>
                <w:szCs w:val="16"/>
              </w:rPr>
              <w:t>1,584.6</w:t>
            </w:r>
          </w:p>
        </w:tc>
        <w:tc>
          <w:tcPr>
            <w:tcW w:w="1454" w:type="dxa"/>
          </w:tcPr>
          <w:p w14:paraId="00633BAD" w14:textId="77777777" w:rsidR="009D243A" w:rsidRPr="00E069AF" w:rsidRDefault="009D243A" w:rsidP="004B4DED">
            <w:pPr>
              <w:snapToGrid w:val="0"/>
              <w:spacing w:line="0" w:lineRule="atLeast"/>
              <w:ind w:rightChars="110" w:right="209"/>
              <w:jc w:val="right"/>
              <w:rPr>
                <w:rFonts w:ascii="Arial" w:eastAsia="SimSun" w:hAnsi="Arial" w:cs="Arial"/>
                <w:bCs/>
                <w:iCs/>
                <w:color w:val="000000" w:themeColor="text1"/>
                <w:sz w:val="16"/>
                <w:szCs w:val="16"/>
                <w:lang w:eastAsia="zh-CN"/>
              </w:rPr>
            </w:pPr>
            <w:r w:rsidRPr="00E069AF">
              <w:rPr>
                <w:rFonts w:ascii="Arial" w:hAnsi="Arial" w:cs="Arial"/>
                <w:bCs/>
                <w:iCs/>
                <w:color w:val="000000" w:themeColor="text1"/>
                <w:sz w:val="16"/>
                <w:szCs w:val="16"/>
              </w:rPr>
              <w:t>1,824.3</w:t>
            </w:r>
          </w:p>
        </w:tc>
        <w:tc>
          <w:tcPr>
            <w:tcW w:w="1454" w:type="dxa"/>
          </w:tcPr>
          <w:p w14:paraId="79F4FBB0" w14:textId="77777777" w:rsidR="009D243A" w:rsidRPr="00E069AF" w:rsidRDefault="009D243A" w:rsidP="004B4DED">
            <w:pPr>
              <w:snapToGrid w:val="0"/>
              <w:spacing w:line="0" w:lineRule="atLeast"/>
              <w:ind w:rightChars="110" w:right="209"/>
              <w:jc w:val="right"/>
              <w:rPr>
                <w:rFonts w:ascii="Arial" w:eastAsia="SimSun" w:hAnsi="Arial" w:cs="Arial"/>
                <w:iCs/>
                <w:color w:val="000000" w:themeColor="text1"/>
                <w:sz w:val="16"/>
                <w:szCs w:val="16"/>
              </w:rPr>
            </w:pPr>
            <w:r w:rsidRPr="00E069AF">
              <w:rPr>
                <w:rFonts w:ascii="Arial" w:hAnsi="Arial" w:cs="Arial"/>
                <w:iCs/>
                <w:color w:val="000000" w:themeColor="text1"/>
                <w:sz w:val="16"/>
                <w:szCs w:val="16"/>
              </w:rPr>
              <w:t>-13.1%</w:t>
            </w:r>
          </w:p>
        </w:tc>
      </w:tr>
      <w:tr w:rsidR="009D243A" w:rsidRPr="00E069AF" w14:paraId="4CB8D5BB" w14:textId="77777777" w:rsidTr="004B4DED">
        <w:trPr>
          <w:trHeight w:val="91"/>
        </w:trPr>
        <w:tc>
          <w:tcPr>
            <w:tcW w:w="3342" w:type="dxa"/>
          </w:tcPr>
          <w:p w14:paraId="356A8B13" w14:textId="77777777" w:rsidR="009D243A" w:rsidRPr="00E069AF" w:rsidRDefault="009D243A" w:rsidP="004B4DED">
            <w:pPr>
              <w:snapToGrid w:val="0"/>
              <w:spacing w:line="0" w:lineRule="atLeast"/>
              <w:jc w:val="both"/>
              <w:rPr>
                <w:rFonts w:ascii="Arial" w:eastAsia="SimSun" w:hAnsi="Arial" w:cs="Arial"/>
                <w:iCs/>
                <w:color w:val="000000" w:themeColor="text1"/>
                <w:sz w:val="16"/>
                <w:szCs w:val="16"/>
                <w:lang w:val="en-US"/>
              </w:rPr>
            </w:pPr>
            <w:r w:rsidRPr="00E069AF">
              <w:rPr>
                <w:rFonts w:ascii="Arial" w:hAnsi="Arial" w:cs="Arial"/>
                <w:iCs/>
                <w:color w:val="000000" w:themeColor="text1"/>
                <w:sz w:val="16"/>
                <w:szCs w:val="16"/>
                <w:lang w:val="en-US"/>
              </w:rPr>
              <w:t>Profit attributable to shareholders of the Company excluding change in fair value of CB</w:t>
            </w:r>
          </w:p>
        </w:tc>
        <w:tc>
          <w:tcPr>
            <w:tcW w:w="1283" w:type="dxa"/>
          </w:tcPr>
          <w:p w14:paraId="53663244" w14:textId="77777777" w:rsidR="009D243A" w:rsidRPr="00E069AF" w:rsidRDefault="009D243A" w:rsidP="004B4DED">
            <w:pPr>
              <w:snapToGrid w:val="0"/>
              <w:spacing w:line="0" w:lineRule="atLeast"/>
              <w:ind w:rightChars="110" w:right="209"/>
              <w:jc w:val="right"/>
              <w:rPr>
                <w:rFonts w:ascii="Arial" w:eastAsia="SimSun" w:hAnsi="Arial" w:cs="Arial"/>
                <w:b/>
                <w:bCs/>
                <w:iCs/>
                <w:color w:val="000000" w:themeColor="text1"/>
                <w:sz w:val="16"/>
                <w:szCs w:val="16"/>
                <w:lang w:eastAsia="zh-CN"/>
              </w:rPr>
            </w:pPr>
            <w:r w:rsidRPr="00E069AF">
              <w:rPr>
                <w:rFonts w:ascii="Arial" w:hAnsi="Arial" w:cs="Arial"/>
                <w:b/>
                <w:bCs/>
                <w:iCs/>
                <w:color w:val="000000" w:themeColor="text1"/>
                <w:sz w:val="16"/>
                <w:szCs w:val="16"/>
              </w:rPr>
              <w:t>912.9</w:t>
            </w:r>
          </w:p>
        </w:tc>
        <w:tc>
          <w:tcPr>
            <w:tcW w:w="1454" w:type="dxa"/>
          </w:tcPr>
          <w:p w14:paraId="12A336CB" w14:textId="77777777" w:rsidR="009D243A" w:rsidRPr="00E069AF" w:rsidRDefault="009D243A" w:rsidP="004B4DED">
            <w:pPr>
              <w:snapToGrid w:val="0"/>
              <w:spacing w:line="0" w:lineRule="atLeast"/>
              <w:ind w:rightChars="110" w:right="209"/>
              <w:jc w:val="right"/>
              <w:rPr>
                <w:rFonts w:ascii="Arial" w:eastAsia="SimSun" w:hAnsi="Arial" w:cs="Arial"/>
                <w:bCs/>
                <w:iCs/>
                <w:color w:val="000000" w:themeColor="text1"/>
                <w:sz w:val="16"/>
                <w:szCs w:val="16"/>
                <w:lang w:eastAsia="zh-CN"/>
              </w:rPr>
            </w:pPr>
            <w:r w:rsidRPr="00E069AF">
              <w:rPr>
                <w:rFonts w:ascii="Arial" w:hAnsi="Arial" w:cs="Arial"/>
                <w:bCs/>
                <w:iCs/>
                <w:color w:val="000000" w:themeColor="text1"/>
                <w:sz w:val="16"/>
                <w:szCs w:val="16"/>
              </w:rPr>
              <w:t>1,076.3</w:t>
            </w:r>
          </w:p>
        </w:tc>
        <w:tc>
          <w:tcPr>
            <w:tcW w:w="1454" w:type="dxa"/>
          </w:tcPr>
          <w:p w14:paraId="1A79C64A" w14:textId="77777777" w:rsidR="009D243A" w:rsidRPr="00E069AF" w:rsidRDefault="009D243A" w:rsidP="004B4DED">
            <w:pPr>
              <w:snapToGrid w:val="0"/>
              <w:spacing w:line="0" w:lineRule="atLeast"/>
              <w:ind w:rightChars="110" w:right="209"/>
              <w:jc w:val="right"/>
              <w:rPr>
                <w:rFonts w:ascii="Arial" w:eastAsia="SimSun" w:hAnsi="Arial" w:cs="Arial"/>
                <w:iCs/>
                <w:color w:val="000000" w:themeColor="text1"/>
                <w:sz w:val="16"/>
                <w:szCs w:val="16"/>
              </w:rPr>
            </w:pPr>
            <w:r w:rsidRPr="00E069AF">
              <w:rPr>
                <w:rFonts w:ascii="Arial" w:hAnsi="Arial" w:cs="Arial"/>
                <w:iCs/>
                <w:color w:val="000000" w:themeColor="text1"/>
                <w:sz w:val="16"/>
                <w:szCs w:val="16"/>
              </w:rPr>
              <w:t>-15.2%</w:t>
            </w:r>
          </w:p>
        </w:tc>
      </w:tr>
      <w:tr w:rsidR="009D243A" w:rsidRPr="00E069AF" w14:paraId="12E0A594" w14:textId="77777777" w:rsidTr="004B4DED">
        <w:trPr>
          <w:trHeight w:val="91"/>
        </w:trPr>
        <w:tc>
          <w:tcPr>
            <w:tcW w:w="3342" w:type="dxa"/>
          </w:tcPr>
          <w:p w14:paraId="69EC4065" w14:textId="77777777" w:rsidR="009D243A" w:rsidRPr="00E069AF" w:rsidRDefault="009D243A" w:rsidP="004B4DED">
            <w:pPr>
              <w:snapToGrid w:val="0"/>
              <w:spacing w:line="0" w:lineRule="atLeast"/>
              <w:jc w:val="both"/>
              <w:rPr>
                <w:rFonts w:ascii="Arial" w:eastAsia="SimSun" w:hAnsi="Arial" w:cs="Arial"/>
                <w:color w:val="000000" w:themeColor="text1"/>
                <w:sz w:val="16"/>
                <w:szCs w:val="16"/>
                <w:lang w:val="en-US"/>
              </w:rPr>
            </w:pPr>
            <w:r w:rsidRPr="00E069AF">
              <w:rPr>
                <w:rFonts w:ascii="Arial" w:hAnsi="Arial" w:cs="Arial"/>
                <w:iCs/>
                <w:color w:val="000000" w:themeColor="text1"/>
                <w:sz w:val="16"/>
                <w:szCs w:val="16"/>
                <w:lang w:val="en-US"/>
              </w:rPr>
              <w:t>Profit attributable to shareholders of the Company</w:t>
            </w:r>
          </w:p>
        </w:tc>
        <w:tc>
          <w:tcPr>
            <w:tcW w:w="1283" w:type="dxa"/>
          </w:tcPr>
          <w:p w14:paraId="276F5E40" w14:textId="77777777" w:rsidR="009D243A" w:rsidRPr="00E069AF" w:rsidRDefault="009D243A" w:rsidP="004B4DED">
            <w:pPr>
              <w:snapToGrid w:val="0"/>
              <w:spacing w:line="0" w:lineRule="atLeast"/>
              <w:ind w:rightChars="110" w:right="209"/>
              <w:jc w:val="right"/>
              <w:rPr>
                <w:rFonts w:ascii="Arial" w:eastAsia="SimSun" w:hAnsi="Arial" w:cs="Arial"/>
                <w:b/>
                <w:bCs/>
                <w:iCs/>
                <w:color w:val="000000" w:themeColor="text1"/>
                <w:sz w:val="16"/>
                <w:szCs w:val="16"/>
              </w:rPr>
            </w:pPr>
            <w:r w:rsidRPr="00E069AF">
              <w:rPr>
                <w:rFonts w:ascii="Arial" w:hAnsi="Arial" w:cs="Arial"/>
                <w:b/>
                <w:bCs/>
                <w:iCs/>
                <w:color w:val="000000" w:themeColor="text1"/>
                <w:sz w:val="16"/>
                <w:szCs w:val="16"/>
              </w:rPr>
              <w:t>909.4</w:t>
            </w:r>
          </w:p>
        </w:tc>
        <w:tc>
          <w:tcPr>
            <w:tcW w:w="1454" w:type="dxa"/>
          </w:tcPr>
          <w:p w14:paraId="767F84E1" w14:textId="77777777" w:rsidR="009D243A" w:rsidRPr="00E069AF" w:rsidRDefault="009D243A" w:rsidP="004B4DED">
            <w:pPr>
              <w:snapToGrid w:val="0"/>
              <w:spacing w:line="0" w:lineRule="atLeast"/>
              <w:ind w:rightChars="110" w:right="209"/>
              <w:jc w:val="right"/>
              <w:rPr>
                <w:rFonts w:ascii="Arial" w:eastAsia="SimSun" w:hAnsi="Arial" w:cs="Arial"/>
                <w:bCs/>
                <w:iCs/>
                <w:color w:val="000000" w:themeColor="text1"/>
                <w:sz w:val="16"/>
                <w:szCs w:val="16"/>
              </w:rPr>
            </w:pPr>
            <w:r w:rsidRPr="00E069AF">
              <w:rPr>
                <w:rFonts w:ascii="Arial" w:hAnsi="Arial" w:cs="Arial"/>
                <w:bCs/>
                <w:iCs/>
                <w:color w:val="000000" w:themeColor="text1"/>
                <w:sz w:val="16"/>
                <w:szCs w:val="16"/>
              </w:rPr>
              <w:t>1,169.4</w:t>
            </w:r>
          </w:p>
        </w:tc>
        <w:tc>
          <w:tcPr>
            <w:tcW w:w="1454" w:type="dxa"/>
          </w:tcPr>
          <w:p w14:paraId="15199E75" w14:textId="77777777" w:rsidR="009D243A" w:rsidRPr="00E069AF" w:rsidRDefault="009D243A" w:rsidP="004B4DED">
            <w:pPr>
              <w:snapToGrid w:val="0"/>
              <w:spacing w:line="0" w:lineRule="atLeast"/>
              <w:ind w:rightChars="110" w:right="209"/>
              <w:jc w:val="right"/>
              <w:rPr>
                <w:rFonts w:ascii="Arial" w:eastAsia="SimSun" w:hAnsi="Arial" w:cs="Arial"/>
                <w:b/>
                <w:bCs/>
                <w:iCs/>
                <w:color w:val="000000" w:themeColor="text1"/>
                <w:sz w:val="16"/>
                <w:szCs w:val="16"/>
              </w:rPr>
            </w:pPr>
            <w:r w:rsidRPr="00E069AF">
              <w:rPr>
                <w:rFonts w:ascii="Arial" w:hAnsi="Arial" w:cs="Arial"/>
                <w:iCs/>
                <w:color w:val="000000" w:themeColor="text1"/>
                <w:sz w:val="16"/>
                <w:szCs w:val="16"/>
              </w:rPr>
              <w:t>-22.2%</w:t>
            </w:r>
          </w:p>
        </w:tc>
      </w:tr>
      <w:tr w:rsidR="009D243A" w:rsidRPr="00E069AF" w14:paraId="350CC9E3" w14:textId="77777777" w:rsidTr="004B4DED">
        <w:trPr>
          <w:trHeight w:val="213"/>
        </w:trPr>
        <w:tc>
          <w:tcPr>
            <w:tcW w:w="3342" w:type="dxa"/>
          </w:tcPr>
          <w:p w14:paraId="4F3CE5A6" w14:textId="77777777" w:rsidR="009D243A" w:rsidRPr="00E069AF" w:rsidRDefault="009D243A" w:rsidP="004B4DED">
            <w:pPr>
              <w:snapToGrid w:val="0"/>
              <w:spacing w:line="0" w:lineRule="atLeast"/>
              <w:jc w:val="both"/>
              <w:rPr>
                <w:rFonts w:ascii="Arial" w:eastAsia="SimSun" w:hAnsi="Arial" w:cs="Arial"/>
                <w:iCs/>
                <w:color w:val="000000" w:themeColor="text1"/>
                <w:sz w:val="16"/>
                <w:szCs w:val="16"/>
                <w:lang w:val="en-US"/>
              </w:rPr>
            </w:pPr>
            <w:r w:rsidRPr="00E069AF">
              <w:rPr>
                <w:rFonts w:ascii="Arial" w:hAnsi="Arial" w:cs="Arial"/>
                <w:iCs/>
                <w:color w:val="000000" w:themeColor="text1"/>
                <w:sz w:val="16"/>
                <w:szCs w:val="16"/>
                <w:lang w:val="en-US"/>
              </w:rPr>
              <w:t>Basic earnings per share (RMB)</w:t>
            </w:r>
          </w:p>
        </w:tc>
        <w:tc>
          <w:tcPr>
            <w:tcW w:w="1283" w:type="dxa"/>
          </w:tcPr>
          <w:p w14:paraId="6E42E4B3" w14:textId="77777777" w:rsidR="009D243A" w:rsidRPr="00E069AF" w:rsidRDefault="009D243A" w:rsidP="004B4DED">
            <w:pPr>
              <w:snapToGrid w:val="0"/>
              <w:spacing w:line="0" w:lineRule="atLeast"/>
              <w:ind w:rightChars="110" w:right="209"/>
              <w:jc w:val="right"/>
              <w:rPr>
                <w:rFonts w:ascii="Arial" w:eastAsia="SimSun" w:hAnsi="Arial" w:cs="Arial"/>
                <w:b/>
                <w:bCs/>
                <w:iCs/>
                <w:color w:val="000000" w:themeColor="text1"/>
                <w:sz w:val="16"/>
                <w:szCs w:val="16"/>
              </w:rPr>
            </w:pPr>
            <w:r w:rsidRPr="00E069AF">
              <w:rPr>
                <w:rFonts w:ascii="Arial" w:hAnsi="Arial" w:cs="Arial"/>
                <w:b/>
                <w:bCs/>
                <w:iCs/>
                <w:color w:val="000000" w:themeColor="text1"/>
                <w:sz w:val="16"/>
                <w:szCs w:val="16"/>
              </w:rPr>
              <w:t>0.57</w:t>
            </w:r>
          </w:p>
        </w:tc>
        <w:tc>
          <w:tcPr>
            <w:tcW w:w="1454" w:type="dxa"/>
          </w:tcPr>
          <w:p w14:paraId="174C873D" w14:textId="77777777" w:rsidR="009D243A" w:rsidRPr="00E069AF" w:rsidRDefault="009D243A" w:rsidP="004B4DED">
            <w:pPr>
              <w:snapToGrid w:val="0"/>
              <w:spacing w:line="0" w:lineRule="atLeast"/>
              <w:ind w:rightChars="110" w:right="209"/>
              <w:jc w:val="right"/>
              <w:rPr>
                <w:rFonts w:ascii="Arial" w:eastAsia="SimSun" w:hAnsi="Arial" w:cs="Arial"/>
                <w:bCs/>
                <w:iCs/>
                <w:color w:val="000000" w:themeColor="text1"/>
                <w:sz w:val="16"/>
                <w:szCs w:val="16"/>
              </w:rPr>
            </w:pPr>
            <w:r w:rsidRPr="00E069AF">
              <w:rPr>
                <w:rFonts w:ascii="Arial" w:hAnsi="Arial" w:cs="Arial"/>
                <w:bCs/>
                <w:iCs/>
                <w:color w:val="000000" w:themeColor="text1"/>
                <w:sz w:val="16"/>
                <w:szCs w:val="16"/>
              </w:rPr>
              <w:t>0.73</w:t>
            </w:r>
          </w:p>
        </w:tc>
        <w:tc>
          <w:tcPr>
            <w:tcW w:w="1454" w:type="dxa"/>
          </w:tcPr>
          <w:p w14:paraId="6DECEB53" w14:textId="77777777" w:rsidR="009D243A" w:rsidRPr="00E069AF" w:rsidRDefault="009D243A" w:rsidP="004B4DED">
            <w:pPr>
              <w:snapToGrid w:val="0"/>
              <w:spacing w:line="0" w:lineRule="atLeast"/>
              <w:ind w:rightChars="110" w:right="209"/>
              <w:jc w:val="right"/>
              <w:rPr>
                <w:rFonts w:ascii="Arial" w:eastAsia="SimSun" w:hAnsi="Arial" w:cs="Arial"/>
                <w:b/>
                <w:bCs/>
                <w:iCs/>
                <w:color w:val="000000" w:themeColor="text1"/>
                <w:sz w:val="16"/>
                <w:szCs w:val="16"/>
              </w:rPr>
            </w:pPr>
            <w:r w:rsidRPr="00E069AF">
              <w:rPr>
                <w:rFonts w:ascii="Arial" w:hAnsi="Arial" w:cs="Arial"/>
                <w:iCs/>
                <w:color w:val="000000" w:themeColor="text1"/>
                <w:sz w:val="16"/>
                <w:szCs w:val="16"/>
              </w:rPr>
              <w:t>-22.2%</w:t>
            </w:r>
          </w:p>
        </w:tc>
      </w:tr>
      <w:tr w:rsidR="009D243A" w:rsidRPr="00E069AF" w14:paraId="633FEED4" w14:textId="77777777" w:rsidTr="004B4DED">
        <w:trPr>
          <w:trHeight w:val="299"/>
        </w:trPr>
        <w:tc>
          <w:tcPr>
            <w:tcW w:w="3342" w:type="dxa"/>
          </w:tcPr>
          <w:p w14:paraId="46A9D152" w14:textId="77777777" w:rsidR="009D243A" w:rsidRPr="00E069AF" w:rsidRDefault="009D243A" w:rsidP="004B4DED">
            <w:pPr>
              <w:snapToGrid w:val="0"/>
              <w:spacing w:line="0" w:lineRule="atLeast"/>
              <w:jc w:val="both"/>
              <w:rPr>
                <w:rFonts w:ascii="Arial" w:eastAsia="SimSun" w:hAnsi="Arial" w:cs="Arial"/>
                <w:iCs/>
                <w:color w:val="000000" w:themeColor="text1"/>
                <w:sz w:val="16"/>
                <w:szCs w:val="16"/>
                <w:lang w:val="en-US"/>
              </w:rPr>
            </w:pPr>
            <w:r w:rsidRPr="00E069AF">
              <w:rPr>
                <w:rFonts w:ascii="Arial" w:hAnsi="Arial" w:cs="Arial"/>
                <w:iCs/>
                <w:color w:val="000000" w:themeColor="text1"/>
                <w:sz w:val="16"/>
                <w:szCs w:val="16"/>
                <w:lang w:val="en-US"/>
              </w:rPr>
              <w:t>Interim dividend per share (HKD)</w:t>
            </w:r>
          </w:p>
        </w:tc>
        <w:tc>
          <w:tcPr>
            <w:tcW w:w="1283" w:type="dxa"/>
          </w:tcPr>
          <w:p w14:paraId="7BD0180B" w14:textId="77777777" w:rsidR="009D243A" w:rsidRPr="00E069AF" w:rsidRDefault="009D243A" w:rsidP="004B4DED">
            <w:pPr>
              <w:snapToGrid w:val="0"/>
              <w:spacing w:line="0" w:lineRule="atLeast"/>
              <w:ind w:rightChars="110" w:right="209"/>
              <w:jc w:val="right"/>
              <w:rPr>
                <w:rFonts w:ascii="Arial" w:hAnsi="Arial" w:cs="Arial"/>
                <w:b/>
                <w:bCs/>
                <w:iCs/>
                <w:color w:val="000000" w:themeColor="text1"/>
                <w:sz w:val="16"/>
                <w:szCs w:val="16"/>
              </w:rPr>
            </w:pPr>
            <w:r w:rsidRPr="00E069AF">
              <w:rPr>
                <w:rFonts w:ascii="Arial" w:hAnsi="Arial" w:cs="Arial"/>
                <w:b/>
                <w:bCs/>
                <w:iCs/>
                <w:color w:val="000000" w:themeColor="text1"/>
                <w:sz w:val="16"/>
                <w:szCs w:val="16"/>
              </w:rPr>
              <w:t>0.21</w:t>
            </w:r>
          </w:p>
          <w:p w14:paraId="7937555B" w14:textId="77777777" w:rsidR="009D243A" w:rsidRPr="00E069AF" w:rsidRDefault="009D243A" w:rsidP="004B4DED">
            <w:pPr>
              <w:snapToGrid w:val="0"/>
              <w:spacing w:line="0" w:lineRule="atLeast"/>
              <w:ind w:rightChars="110" w:right="209"/>
              <w:jc w:val="right"/>
              <w:rPr>
                <w:rFonts w:ascii="Arial" w:hAnsi="Arial" w:cs="Arial"/>
                <w:b/>
                <w:bCs/>
                <w:iCs/>
                <w:color w:val="000000" w:themeColor="text1"/>
                <w:sz w:val="16"/>
                <w:szCs w:val="16"/>
              </w:rPr>
            </w:pPr>
          </w:p>
        </w:tc>
        <w:tc>
          <w:tcPr>
            <w:tcW w:w="1454" w:type="dxa"/>
          </w:tcPr>
          <w:p w14:paraId="5AD26B89" w14:textId="77777777" w:rsidR="009D243A" w:rsidRPr="00E069AF" w:rsidRDefault="009D243A" w:rsidP="004B4DED">
            <w:pPr>
              <w:snapToGrid w:val="0"/>
              <w:spacing w:line="0" w:lineRule="atLeast"/>
              <w:ind w:rightChars="110" w:right="209"/>
              <w:jc w:val="right"/>
              <w:rPr>
                <w:rFonts w:ascii="Arial" w:hAnsi="Arial" w:cs="Arial"/>
                <w:bCs/>
                <w:iCs/>
                <w:color w:val="000000" w:themeColor="text1"/>
                <w:sz w:val="16"/>
                <w:szCs w:val="16"/>
              </w:rPr>
            </w:pPr>
            <w:r w:rsidRPr="00E069AF">
              <w:rPr>
                <w:rFonts w:ascii="Arial" w:hAnsi="Arial" w:cs="Arial"/>
                <w:bCs/>
                <w:iCs/>
                <w:color w:val="000000" w:themeColor="text1"/>
                <w:sz w:val="16"/>
                <w:szCs w:val="16"/>
              </w:rPr>
              <w:t>0.25</w:t>
            </w:r>
          </w:p>
          <w:p w14:paraId="55743AC3" w14:textId="77777777" w:rsidR="009D243A" w:rsidRPr="00E069AF" w:rsidRDefault="009D243A" w:rsidP="004B4DED">
            <w:pPr>
              <w:snapToGrid w:val="0"/>
              <w:spacing w:line="0" w:lineRule="atLeast"/>
              <w:ind w:rightChars="110" w:right="209"/>
              <w:jc w:val="right"/>
              <w:rPr>
                <w:rFonts w:ascii="Arial" w:eastAsia="SimSun" w:hAnsi="Arial" w:cs="Arial"/>
                <w:bCs/>
                <w:iCs/>
                <w:color w:val="000000" w:themeColor="text1"/>
                <w:sz w:val="16"/>
                <w:szCs w:val="16"/>
              </w:rPr>
            </w:pPr>
          </w:p>
        </w:tc>
        <w:tc>
          <w:tcPr>
            <w:tcW w:w="1454" w:type="dxa"/>
          </w:tcPr>
          <w:p w14:paraId="66FF3C6E" w14:textId="77777777" w:rsidR="009D243A" w:rsidRPr="00E069AF" w:rsidRDefault="009D243A" w:rsidP="004B4DED">
            <w:pPr>
              <w:snapToGrid w:val="0"/>
              <w:spacing w:line="0" w:lineRule="atLeast"/>
              <w:ind w:rightChars="110" w:right="209"/>
              <w:jc w:val="right"/>
              <w:rPr>
                <w:rFonts w:ascii="Arial" w:hAnsi="Arial" w:cs="Arial"/>
                <w:b/>
                <w:bCs/>
                <w:iCs/>
                <w:color w:val="000000" w:themeColor="text1"/>
                <w:sz w:val="16"/>
                <w:szCs w:val="16"/>
              </w:rPr>
            </w:pPr>
            <w:r w:rsidRPr="00E069AF">
              <w:rPr>
                <w:rFonts w:ascii="Arial" w:hAnsi="Arial" w:cs="Arial"/>
                <w:b/>
                <w:bCs/>
                <w:iCs/>
                <w:color w:val="000000" w:themeColor="text1"/>
                <w:sz w:val="16"/>
                <w:szCs w:val="16"/>
              </w:rPr>
              <w:t>-16.0%</w:t>
            </w:r>
          </w:p>
          <w:p w14:paraId="68BE2FE2" w14:textId="77777777" w:rsidR="009D243A" w:rsidRPr="00E069AF" w:rsidRDefault="009D243A" w:rsidP="004B4DED">
            <w:pPr>
              <w:snapToGrid w:val="0"/>
              <w:spacing w:line="0" w:lineRule="atLeast"/>
              <w:ind w:rightChars="110" w:right="209"/>
              <w:jc w:val="right"/>
              <w:rPr>
                <w:rFonts w:ascii="Arial" w:hAnsi="Arial" w:cs="Arial"/>
                <w:b/>
                <w:bCs/>
                <w:iCs/>
                <w:color w:val="000000" w:themeColor="text1"/>
                <w:sz w:val="16"/>
                <w:szCs w:val="16"/>
              </w:rPr>
            </w:pPr>
          </w:p>
        </w:tc>
      </w:tr>
    </w:tbl>
    <w:p w14:paraId="26BA3347"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504DF2B9" w14:textId="77777777" w:rsidR="009D243A" w:rsidRPr="00E069AF" w:rsidRDefault="009D243A" w:rsidP="009D243A">
      <w:pPr>
        <w:tabs>
          <w:tab w:val="right" w:pos="6195"/>
        </w:tabs>
        <w:spacing w:line="288" w:lineRule="auto"/>
        <w:jc w:val="both"/>
        <w:rPr>
          <w:rFonts w:ascii="Arial" w:hAnsi="Arial" w:cs="Arial"/>
          <w:b/>
          <w:color w:val="000000" w:themeColor="text1"/>
          <w:szCs w:val="18"/>
        </w:rPr>
      </w:pPr>
      <w:r w:rsidRPr="00E069AF">
        <w:rPr>
          <w:rFonts w:ascii="Arial" w:hAnsi="Arial" w:cs="Arial"/>
          <w:b/>
          <w:color w:val="000000" w:themeColor="text1"/>
          <w:szCs w:val="18"/>
        </w:rPr>
        <w:t xml:space="preserve">Reformen und Flexibilität </w:t>
      </w:r>
    </w:p>
    <w:p w14:paraId="59658B6E"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27A2EE34"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Mr. Zhang Bin, Executive </w:t>
      </w:r>
      <w:proofErr w:type="spellStart"/>
      <w:r w:rsidRPr="00E069AF">
        <w:rPr>
          <w:rFonts w:ascii="Arial" w:hAnsi="Arial" w:cs="Arial"/>
          <w:color w:val="000000" w:themeColor="text1"/>
          <w:szCs w:val="18"/>
        </w:rPr>
        <w:t>Director</w:t>
      </w:r>
      <w:proofErr w:type="spellEnd"/>
      <w:r w:rsidRPr="00E069AF">
        <w:rPr>
          <w:rFonts w:ascii="Arial" w:hAnsi="Arial" w:cs="Arial"/>
          <w:color w:val="000000" w:themeColor="text1"/>
          <w:szCs w:val="18"/>
        </w:rPr>
        <w:t xml:space="preserve"> von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gibt sich und zuversichtlich und erläutert: „Das Marktumfeld gestaltet sich weiterhin schwierig, doch wir sehen diese Perspektive auch als Chance. Der Cashflow-Rekord im operativen Geschäft zeigt, dass interne tiefgreifende </w:t>
      </w:r>
      <w:r>
        <w:rPr>
          <w:rFonts w:ascii="Arial" w:hAnsi="Arial" w:cs="Arial"/>
          <w:color w:val="000000" w:themeColor="text1"/>
          <w:szCs w:val="18"/>
        </w:rPr>
        <w:t xml:space="preserve">operative </w:t>
      </w:r>
      <w:r w:rsidRPr="00E069AF">
        <w:rPr>
          <w:rFonts w:ascii="Arial" w:hAnsi="Arial" w:cs="Arial"/>
          <w:color w:val="000000" w:themeColor="text1"/>
          <w:szCs w:val="18"/>
        </w:rPr>
        <w:t>Reformen und deren Maßnahmen zur Erhöhung von Flexibilität und Produktivität nun greifen.“ Der operative Erfolg, resultierend aus exzellentem Working-Capital-Management und der erhöhten Flexibilität im operativen Geschäft, habe zu einer stabilen Brutto- und Nettomarge sowie einem ausgezeichneten Cashflow geführt.</w:t>
      </w:r>
      <w:r>
        <w:rPr>
          <w:rFonts w:ascii="Arial" w:hAnsi="Arial" w:cs="Arial"/>
          <w:color w:val="000000" w:themeColor="text1"/>
          <w:szCs w:val="18"/>
        </w:rPr>
        <w:t xml:space="preserve"> Wirksam sind ebenfalls die zielgerichteten Investitionen der Vorjahre in Flexibilität und Modernisierung der Werke. </w:t>
      </w:r>
      <w:r w:rsidRPr="00E069AF">
        <w:rPr>
          <w:rFonts w:ascii="Arial" w:hAnsi="Arial" w:cs="Arial"/>
          <w:color w:val="000000" w:themeColor="text1"/>
          <w:szCs w:val="18"/>
        </w:rPr>
        <w:t xml:space="preserve"> „Auch haben viele einzelne Maßnahmen zu einer verbesserten Effizienz geführt, zum Beispiel die </w:t>
      </w:r>
      <w:r>
        <w:rPr>
          <w:rFonts w:ascii="Arial" w:hAnsi="Arial" w:cs="Arial"/>
          <w:color w:val="000000" w:themeColor="text1"/>
          <w:szCs w:val="18"/>
        </w:rPr>
        <w:t xml:space="preserve">Flexibilisierung der Arbeitszeit </w:t>
      </w:r>
      <w:r w:rsidRPr="00E069AF">
        <w:rPr>
          <w:rFonts w:ascii="Arial" w:hAnsi="Arial" w:cs="Arial"/>
          <w:color w:val="000000" w:themeColor="text1"/>
          <w:szCs w:val="18"/>
        </w:rPr>
        <w:t>und</w:t>
      </w:r>
      <w:r>
        <w:rPr>
          <w:rFonts w:ascii="Arial" w:hAnsi="Arial" w:cs="Arial"/>
          <w:color w:val="000000" w:themeColor="text1"/>
          <w:szCs w:val="18"/>
        </w:rPr>
        <w:t xml:space="preserve"> moderne </w:t>
      </w:r>
      <w:r w:rsidRPr="00E069AF">
        <w:rPr>
          <w:rFonts w:ascii="Arial" w:hAnsi="Arial" w:cs="Arial"/>
          <w:color w:val="000000" w:themeColor="text1"/>
          <w:szCs w:val="18"/>
        </w:rPr>
        <w:t>Mehrschichten</w:t>
      </w:r>
      <w:r>
        <w:rPr>
          <w:rFonts w:ascii="Arial" w:hAnsi="Arial" w:cs="Arial"/>
          <w:color w:val="000000" w:themeColor="text1"/>
          <w:szCs w:val="18"/>
        </w:rPr>
        <w:t>modelle</w:t>
      </w:r>
      <w:r w:rsidRPr="00E069AF">
        <w:rPr>
          <w:rFonts w:ascii="Arial" w:hAnsi="Arial" w:cs="Arial"/>
          <w:color w:val="000000" w:themeColor="text1"/>
          <w:szCs w:val="18"/>
        </w:rPr>
        <w:t xml:space="preserve">, flexible Verträge mit den Lieferanten, unser 16+8 Prinzip und vieles mehr. In einer so schwierigen wirtschaftlichen Situation </w:t>
      </w:r>
      <w:r w:rsidRPr="00A36A9F">
        <w:rPr>
          <w:rFonts w:ascii="Arial" w:hAnsi="Arial" w:cs="Arial"/>
          <w:strike/>
          <w:color w:val="000000" w:themeColor="text1"/>
          <w:szCs w:val="18"/>
        </w:rPr>
        <w:t>hat</w:t>
      </w:r>
      <w:r w:rsidRPr="00E069AF">
        <w:rPr>
          <w:rFonts w:ascii="Arial" w:hAnsi="Arial" w:cs="Arial"/>
          <w:color w:val="000000" w:themeColor="text1"/>
          <w:szCs w:val="18"/>
        </w:rPr>
        <w:t xml:space="preserve"> </w:t>
      </w:r>
      <w:r>
        <w:rPr>
          <w:rFonts w:ascii="Arial" w:hAnsi="Arial" w:cs="Arial"/>
          <w:color w:val="000000" w:themeColor="text1"/>
          <w:szCs w:val="18"/>
        </w:rPr>
        <w:t xml:space="preserve">konnte </w:t>
      </w:r>
      <w:r w:rsidRPr="00E069AF">
        <w:rPr>
          <w:rFonts w:ascii="Arial" w:hAnsi="Arial" w:cs="Arial"/>
          <w:color w:val="000000" w:themeColor="text1"/>
          <w:szCs w:val="18"/>
        </w:rPr>
        <w:t>das Unternehmen</w:t>
      </w:r>
      <w:r>
        <w:rPr>
          <w:rFonts w:ascii="Arial" w:hAnsi="Arial" w:cs="Arial"/>
          <w:color w:val="000000" w:themeColor="text1"/>
          <w:szCs w:val="18"/>
        </w:rPr>
        <w:t xml:space="preserve"> so </w:t>
      </w:r>
      <w:r w:rsidRPr="00E069AF">
        <w:rPr>
          <w:rFonts w:ascii="Arial" w:hAnsi="Arial" w:cs="Arial"/>
          <w:color w:val="000000" w:themeColor="text1"/>
          <w:szCs w:val="18"/>
        </w:rPr>
        <w:t>äußerst flexibel reagier</w:t>
      </w:r>
      <w:r>
        <w:rPr>
          <w:rFonts w:ascii="Arial" w:hAnsi="Arial" w:cs="Arial"/>
          <w:color w:val="000000" w:themeColor="text1"/>
          <w:szCs w:val="18"/>
        </w:rPr>
        <w:t>en</w:t>
      </w:r>
      <w:r w:rsidRPr="00E069AF">
        <w:rPr>
          <w:rFonts w:ascii="Arial" w:hAnsi="Arial" w:cs="Arial"/>
          <w:color w:val="000000" w:themeColor="text1"/>
          <w:szCs w:val="18"/>
        </w:rPr>
        <w:t>, und trotz des schwierigen Marktumfelds ein</w:t>
      </w:r>
      <w:r>
        <w:rPr>
          <w:rFonts w:ascii="Arial" w:hAnsi="Arial" w:cs="Arial"/>
          <w:color w:val="000000" w:themeColor="text1"/>
          <w:szCs w:val="18"/>
        </w:rPr>
        <w:t>e</w:t>
      </w:r>
      <w:r w:rsidRPr="00E069AF">
        <w:rPr>
          <w:rFonts w:ascii="Arial" w:hAnsi="Arial" w:cs="Arial"/>
          <w:color w:val="000000" w:themeColor="text1"/>
          <w:szCs w:val="18"/>
        </w:rPr>
        <w:t xml:space="preserve"> kontinuierliche</w:t>
      </w:r>
      <w:r>
        <w:rPr>
          <w:rFonts w:ascii="Arial" w:hAnsi="Arial" w:cs="Arial"/>
          <w:color w:val="000000" w:themeColor="text1"/>
          <w:szCs w:val="18"/>
        </w:rPr>
        <w:t xml:space="preserve"> Weiterentwicklung </w:t>
      </w:r>
      <w:r w:rsidRPr="00E069AF">
        <w:rPr>
          <w:rFonts w:ascii="Arial" w:hAnsi="Arial" w:cs="Arial"/>
          <w:color w:val="000000" w:themeColor="text1"/>
          <w:szCs w:val="18"/>
        </w:rPr>
        <w:t>mit hoher Wertschöpfung erzielen. Das ist vor allem auch eine gute Nachricht für das operative Management und deren Mitarbeiter. Der Einsatz und all die Arbeit, die in den letzten Jahren aufgewendet wurde, das Unternehmen durch schwierige Zeiten zu bringen</w:t>
      </w:r>
      <w:r>
        <w:rPr>
          <w:rFonts w:ascii="Arial" w:hAnsi="Arial" w:cs="Arial"/>
          <w:color w:val="000000" w:themeColor="text1"/>
          <w:szCs w:val="18"/>
        </w:rPr>
        <w:t>, zeigen nun Wirkung.</w:t>
      </w:r>
      <w:r w:rsidRPr="00E069AF">
        <w:rPr>
          <w:rFonts w:ascii="Arial" w:hAnsi="Arial" w:cs="Arial"/>
          <w:color w:val="000000" w:themeColor="text1"/>
          <w:szCs w:val="18"/>
        </w:rPr>
        <w:t xml:space="preserve"> Die Profitabilität ist nach wie vor sehr hoch.“</w:t>
      </w:r>
    </w:p>
    <w:p w14:paraId="3099024E" w14:textId="77777777" w:rsidR="009D243A" w:rsidRPr="00E069AF" w:rsidRDefault="009D243A" w:rsidP="009D243A">
      <w:pPr>
        <w:tabs>
          <w:tab w:val="right" w:pos="6195"/>
        </w:tabs>
        <w:spacing w:line="288" w:lineRule="auto"/>
        <w:rPr>
          <w:rFonts w:ascii="Arial" w:hAnsi="Arial" w:cs="Arial"/>
          <w:color w:val="000000" w:themeColor="text1"/>
          <w:szCs w:val="18"/>
        </w:rPr>
      </w:pPr>
    </w:p>
    <w:p w14:paraId="7D0D82AF" w14:textId="77777777" w:rsidR="00753B35" w:rsidRDefault="00753B35" w:rsidP="009D243A">
      <w:pPr>
        <w:tabs>
          <w:tab w:val="right" w:pos="6195"/>
        </w:tabs>
        <w:spacing w:line="288" w:lineRule="auto"/>
        <w:jc w:val="both"/>
        <w:rPr>
          <w:rFonts w:ascii="Arial" w:hAnsi="Arial" w:cs="Arial"/>
          <w:b/>
          <w:color w:val="000000" w:themeColor="text1"/>
          <w:szCs w:val="18"/>
        </w:rPr>
      </w:pPr>
    </w:p>
    <w:p w14:paraId="71C8C736" w14:textId="77777777" w:rsidR="00753B35" w:rsidRDefault="00753B35" w:rsidP="009D243A">
      <w:pPr>
        <w:tabs>
          <w:tab w:val="right" w:pos="6195"/>
        </w:tabs>
        <w:spacing w:line="288" w:lineRule="auto"/>
        <w:jc w:val="both"/>
        <w:rPr>
          <w:rFonts w:ascii="Arial" w:hAnsi="Arial" w:cs="Arial"/>
          <w:b/>
          <w:color w:val="000000" w:themeColor="text1"/>
          <w:szCs w:val="18"/>
        </w:rPr>
      </w:pPr>
    </w:p>
    <w:p w14:paraId="78FA33C3" w14:textId="0A5B75F4" w:rsidR="009D243A" w:rsidRPr="00E069AF" w:rsidRDefault="009D243A" w:rsidP="009D243A">
      <w:pPr>
        <w:tabs>
          <w:tab w:val="right" w:pos="6195"/>
        </w:tabs>
        <w:spacing w:line="288" w:lineRule="auto"/>
        <w:jc w:val="both"/>
        <w:rPr>
          <w:rFonts w:ascii="Arial" w:hAnsi="Arial" w:cs="Arial"/>
          <w:b/>
          <w:color w:val="000000" w:themeColor="text1"/>
          <w:szCs w:val="18"/>
        </w:rPr>
      </w:pPr>
      <w:bookmarkStart w:id="0" w:name="_GoBack"/>
      <w:bookmarkEnd w:id="0"/>
      <w:r w:rsidRPr="00E069AF">
        <w:rPr>
          <w:rFonts w:ascii="Arial" w:hAnsi="Arial" w:cs="Arial"/>
          <w:b/>
          <w:color w:val="000000" w:themeColor="text1"/>
          <w:szCs w:val="18"/>
        </w:rPr>
        <w:lastRenderedPageBreak/>
        <w:t>Märkte und Geschäftsverlauf</w:t>
      </w:r>
    </w:p>
    <w:p w14:paraId="31A0C058"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7EFFB739"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Globale Handelskonflikte und verstärkter Handelsprotektionismus führten zu einer Verlangsamung des globalen Wirtschaftswachstums, so dass der Konzernumsatz im Berichtszeitraum 5.008,9 Mio. RMB beträgt. Das entspricht einem Rückgang von 14,8 % gegenüber dem gleichen Zeitraum im Vorjahr. Angesichts der aktuellen Marktdaten z.B. aus Europa, USA oder Japan hatte die Branche im internationalen Vergleich deutlich höhere Umsatzeinbußen zu verzeichnen, so dass man insgesamt von leichten Zugewinnen an Marktanteilen für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ausgehen darf.</w:t>
      </w:r>
    </w:p>
    <w:p w14:paraId="3324FBF2"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2CE23EAB"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Der Inlandsumsatz von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verzeichnete einen Rückgang um 20,5 % auf 3.320,2 Mio. RMB. Handelsprotektionismus und die Abwertung bestimmter Währungen haben zu einem Umsatzrückgang in den meisten Überseemärkten des Konzerns geführt. Der Exportumsatz in Höhe von 1.546,5 Mio. RMB entspricht einem Rückgang um 2,1%.</w:t>
      </w:r>
    </w:p>
    <w:p w14:paraId="7E8AF218"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337689F7" w14:textId="77777777" w:rsidR="009D243A" w:rsidRPr="00E069AF" w:rsidRDefault="009D243A" w:rsidP="009D243A">
      <w:pPr>
        <w:tabs>
          <w:tab w:val="right" w:pos="6195"/>
        </w:tabs>
        <w:spacing w:line="288" w:lineRule="auto"/>
        <w:jc w:val="both"/>
        <w:rPr>
          <w:rFonts w:ascii="Arial" w:hAnsi="Arial" w:cs="Arial"/>
          <w:b/>
          <w:color w:val="000000" w:themeColor="text1"/>
          <w:szCs w:val="18"/>
        </w:rPr>
      </w:pPr>
      <w:r w:rsidRPr="00E069AF">
        <w:rPr>
          <w:rFonts w:ascii="Arial" w:hAnsi="Arial" w:cs="Arial"/>
          <w:b/>
          <w:color w:val="000000" w:themeColor="text1"/>
          <w:szCs w:val="18"/>
        </w:rPr>
        <w:t>Umsatzentwicklung der Baureihen</w:t>
      </w:r>
    </w:p>
    <w:p w14:paraId="65979D53"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047B55C5"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Das abflauende inländische Wirtschaftswachstum und die veränderten wirtschaftlichen Rahmenbedingungen haben auch die Verkaufszahlen der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Mars Serie empfindlich getroffen. Im ersten Halbjahr 2019 sank der Umsatz um 18,9 % auf 3171,5 Mio. RMB. Dennoch bleibt der </w:t>
      </w:r>
      <w:proofErr w:type="spellStart"/>
      <w:r w:rsidRPr="00E069AF">
        <w:rPr>
          <w:rFonts w:ascii="Arial" w:hAnsi="Arial" w:cs="Arial"/>
          <w:color w:val="000000" w:themeColor="text1"/>
          <w:szCs w:val="18"/>
        </w:rPr>
        <w:t>servo</w:t>
      </w:r>
      <w:proofErr w:type="spellEnd"/>
      <w:r w:rsidRPr="00E069AF">
        <w:rPr>
          <w:rFonts w:ascii="Arial" w:hAnsi="Arial" w:cs="Arial"/>
          <w:color w:val="000000" w:themeColor="text1"/>
          <w:szCs w:val="18"/>
        </w:rPr>
        <w:t xml:space="preserve">-hydraulische Bestseller mit insgesamt rund 130.000 verkauften Einheiten die erfolgreichste Spritzgießmaschine weltweit. </w:t>
      </w:r>
    </w:p>
    <w:p w14:paraId="0A96072A"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389D8A42"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Die differenzierte Produktstrategie – elektrische Maschinen im kleinen und mittleren Sektor, Zwei-Platten-Maschinen im mittleren und großen Sektor – erfährt nach wie vor wachsende Akzeptanz bei den </w:t>
      </w:r>
      <w:proofErr w:type="spellStart"/>
      <w:r w:rsidRPr="00E069AF">
        <w:rPr>
          <w:rFonts w:ascii="Arial" w:hAnsi="Arial" w:cs="Arial"/>
          <w:color w:val="000000" w:themeColor="text1"/>
          <w:szCs w:val="18"/>
        </w:rPr>
        <w:t>Kunststoffverarbeitern</w:t>
      </w:r>
      <w:proofErr w:type="spellEnd"/>
      <w:r w:rsidRPr="00E069AF">
        <w:rPr>
          <w:rFonts w:ascii="Arial" w:hAnsi="Arial" w:cs="Arial"/>
          <w:color w:val="000000" w:themeColor="text1"/>
          <w:szCs w:val="18"/>
        </w:rPr>
        <w:t xml:space="preserve">. Verbesserte Technologien und hochwertigere Maschinen sind auf dem Markt immer stärker gefragt, sodass elektrische Lösungen immer häufiger die Hydraulischen ablösen. Dies erklärt zum Teil auch die rückläufigen Absatzzahlen der Mars Serie. </w:t>
      </w:r>
    </w:p>
    <w:p w14:paraId="0ECDE211"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0B6662B9"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Der absolute Umsatz der elektrischen </w:t>
      </w:r>
      <w:proofErr w:type="spellStart"/>
      <w:r w:rsidRPr="00E069AF">
        <w:rPr>
          <w:rFonts w:ascii="Arial" w:hAnsi="Arial" w:cs="Arial"/>
          <w:color w:val="000000" w:themeColor="text1"/>
          <w:szCs w:val="18"/>
        </w:rPr>
        <w:t>Zhafir</w:t>
      </w:r>
      <w:proofErr w:type="spellEnd"/>
      <w:r w:rsidRPr="00E069AF">
        <w:rPr>
          <w:rFonts w:ascii="Arial" w:hAnsi="Arial" w:cs="Arial"/>
          <w:color w:val="000000" w:themeColor="text1"/>
          <w:szCs w:val="18"/>
        </w:rPr>
        <w:t xml:space="preserve"> Baureihen stieg um 13,6 % auf 773,1 Mio. RMB. Der Umsatz mit elektrischen Spritzgießmaschinen kleiner Tonnagen stieg sogar um 22,5 %.</w:t>
      </w:r>
    </w:p>
    <w:p w14:paraId="71E5FDB0"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1F4248C4"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Die absolute Umsatzzahl der Zwei-Platten-Lösung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Jupiter Serie sank nach einem extrem starken Halbjahr 2018 um 20,5 % auf 663,7 Mio. RMB. Indessen stieg der Anteil an verkauften JU Maschinen aus mittleren und großen Schließkraftklassen auf 44,1 %. </w:t>
      </w:r>
    </w:p>
    <w:p w14:paraId="4CEE5C8C"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6F613C6D" w14:textId="77777777" w:rsidR="009D243A" w:rsidRPr="00E069AF" w:rsidRDefault="009D243A" w:rsidP="009D243A">
      <w:pPr>
        <w:tabs>
          <w:tab w:val="right" w:pos="6195"/>
        </w:tabs>
        <w:spacing w:line="288" w:lineRule="auto"/>
        <w:jc w:val="both"/>
        <w:rPr>
          <w:rFonts w:ascii="Arial" w:hAnsi="Arial" w:cs="Arial"/>
          <w:b/>
          <w:color w:val="000000" w:themeColor="text1"/>
          <w:szCs w:val="18"/>
        </w:rPr>
      </w:pPr>
      <w:r w:rsidRPr="00E069AF">
        <w:rPr>
          <w:rFonts w:ascii="Arial" w:hAnsi="Arial" w:cs="Arial"/>
          <w:b/>
          <w:color w:val="000000" w:themeColor="text1"/>
          <w:szCs w:val="18"/>
        </w:rPr>
        <w:t>„Jahre der Management-Innovation“</w:t>
      </w:r>
    </w:p>
    <w:p w14:paraId="00580C13"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4CD3ECB9"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wird weiterhin tiefgreifende Reformen vorantreiben, um die Effizienz zu verbessern. Etwa durch die Einführung neuer Management-Software-Plattformen und den verstärkten Aufbau jüngerer </w:t>
      </w:r>
      <w:r>
        <w:rPr>
          <w:rFonts w:ascii="Arial" w:hAnsi="Arial" w:cs="Arial"/>
          <w:color w:val="000000" w:themeColor="text1"/>
          <w:szCs w:val="18"/>
        </w:rPr>
        <w:t xml:space="preserve">fokussierter </w:t>
      </w:r>
      <w:r w:rsidRPr="00E069AF">
        <w:rPr>
          <w:rFonts w:ascii="Arial" w:hAnsi="Arial" w:cs="Arial"/>
          <w:color w:val="000000" w:themeColor="text1"/>
          <w:szCs w:val="18"/>
        </w:rPr>
        <w:t xml:space="preserve">Managementteams sowie durch die Umstellung auf ein digitalisiertes </w:t>
      </w:r>
      <w:r>
        <w:rPr>
          <w:rFonts w:ascii="Arial" w:hAnsi="Arial" w:cs="Arial"/>
          <w:color w:val="000000" w:themeColor="text1"/>
          <w:szCs w:val="18"/>
        </w:rPr>
        <w:t xml:space="preserve">operatives </w:t>
      </w:r>
      <w:r w:rsidRPr="00E069AF">
        <w:rPr>
          <w:rFonts w:ascii="Arial" w:hAnsi="Arial" w:cs="Arial"/>
          <w:color w:val="000000" w:themeColor="text1"/>
          <w:szCs w:val="18"/>
        </w:rPr>
        <w:t>Fabrikmanagement. Die Jahre 2019 und 2020 wurden intern als Meilensteine der Management-Innovation</w:t>
      </w:r>
      <w:r>
        <w:rPr>
          <w:rFonts w:ascii="Arial" w:hAnsi="Arial" w:cs="Arial"/>
          <w:color w:val="000000" w:themeColor="text1"/>
          <w:szCs w:val="18"/>
        </w:rPr>
        <w:t xml:space="preserve"> gesehen.</w:t>
      </w:r>
    </w:p>
    <w:p w14:paraId="792D5B68"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 </w:t>
      </w:r>
    </w:p>
    <w:p w14:paraId="5C18AA14"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 xml:space="preserve">„Wir werden die Forschung &amp; Entwicklung neuer Produkte fördern und unsere Präsenz in Übersee weiter ausbauen,“ sagt Mr. Zhang Bin und erläutert: „Neue Montagezentren für </w:t>
      </w:r>
      <w:proofErr w:type="spellStart"/>
      <w:r w:rsidRPr="00E069AF">
        <w:rPr>
          <w:rFonts w:ascii="Arial" w:hAnsi="Arial" w:cs="Arial"/>
          <w:color w:val="000000" w:themeColor="text1"/>
          <w:szCs w:val="18"/>
        </w:rPr>
        <w:t>customized</w:t>
      </w:r>
      <w:proofErr w:type="spellEnd"/>
      <w:r w:rsidRPr="00E069AF">
        <w:rPr>
          <w:rFonts w:ascii="Arial" w:hAnsi="Arial" w:cs="Arial"/>
          <w:color w:val="000000" w:themeColor="text1"/>
          <w:szCs w:val="18"/>
        </w:rPr>
        <w:t xml:space="preserve"> Lösungen, Anwendungszentren, Vertriebs- und Servicezentren werden unser Unternehmen in die Lage versetzen, regionale Marktanforderungen und individuelle Kundenbedürfnisse noch besser zu erfüllen.“ </w:t>
      </w:r>
    </w:p>
    <w:p w14:paraId="3941A080"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25B7232C" w14:textId="77777777" w:rsidR="009D243A" w:rsidRPr="00E069AF" w:rsidRDefault="009D243A" w:rsidP="009D243A">
      <w:pPr>
        <w:tabs>
          <w:tab w:val="right" w:pos="6195"/>
        </w:tabs>
        <w:spacing w:line="288" w:lineRule="auto"/>
        <w:jc w:val="both"/>
        <w:rPr>
          <w:rFonts w:ascii="Arial" w:hAnsi="Arial" w:cs="Arial"/>
          <w:color w:val="000000" w:themeColor="text1"/>
          <w:szCs w:val="18"/>
        </w:rPr>
      </w:pPr>
      <w:r w:rsidRPr="00E069AF">
        <w:rPr>
          <w:rFonts w:ascii="Arial" w:hAnsi="Arial" w:cs="Arial"/>
          <w:color w:val="000000" w:themeColor="text1"/>
          <w:szCs w:val="18"/>
        </w:rPr>
        <w:t>Darüber hinaus soll die Standardisierung von Baugruppen weiter vorangetrieben und anwendungsorientierte Lösungen erhöht werden. Mr. Zhang Bin: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International wird sich bemühen, eine führende Position in allen Bereichen der Branche einzunehmen. Die Aspekte Umweltschutz, </w:t>
      </w:r>
      <w:r w:rsidRPr="00E069AF">
        <w:rPr>
          <w:rFonts w:ascii="Arial" w:hAnsi="Arial" w:cs="Arial"/>
          <w:color w:val="000000" w:themeColor="text1"/>
          <w:szCs w:val="18"/>
        </w:rPr>
        <w:lastRenderedPageBreak/>
        <w:t xml:space="preserve">Ressourceneinsparung und Nachhaltigkeit stehen hierbei im besonderen Fokus. Die </w:t>
      </w:r>
      <w:proofErr w:type="spellStart"/>
      <w:r w:rsidRPr="00E069AF">
        <w:rPr>
          <w:rFonts w:ascii="Arial" w:hAnsi="Arial" w:cs="Arial"/>
          <w:color w:val="000000" w:themeColor="text1"/>
          <w:szCs w:val="18"/>
        </w:rPr>
        <w:t>Haitian</w:t>
      </w:r>
      <w:proofErr w:type="spellEnd"/>
      <w:r w:rsidRPr="00E069AF">
        <w:rPr>
          <w:rFonts w:ascii="Arial" w:hAnsi="Arial" w:cs="Arial"/>
          <w:color w:val="000000" w:themeColor="text1"/>
          <w:szCs w:val="18"/>
        </w:rPr>
        <w:t xml:space="preserve"> Gruppe wird weiterhin Mehrwerte für die Kunden schaffen, mit besserer Qualität und komfortablen Dienstleistungen, um gemeinsam mit Kunden, Mitarbeitern und Geschäftspartnern zu wachsen und sich zu entwickeln."</w:t>
      </w:r>
    </w:p>
    <w:p w14:paraId="7DCD0C33"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3E59E9BA"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1A685F50" w14:textId="77777777" w:rsidR="009D243A" w:rsidRPr="00E069AF" w:rsidRDefault="009D243A" w:rsidP="009D243A">
      <w:pPr>
        <w:tabs>
          <w:tab w:val="right" w:pos="6195"/>
        </w:tabs>
        <w:spacing w:line="288" w:lineRule="auto"/>
        <w:jc w:val="both"/>
        <w:rPr>
          <w:rFonts w:ascii="Arial" w:hAnsi="Arial" w:cs="Arial"/>
          <w:color w:val="000000" w:themeColor="text1"/>
          <w:szCs w:val="18"/>
        </w:rPr>
      </w:pPr>
    </w:p>
    <w:p w14:paraId="396723C1" w14:textId="77777777" w:rsidR="00AF3081" w:rsidRPr="009D243A" w:rsidRDefault="00AF3081" w:rsidP="009D243A"/>
    <w:sectPr w:rsidR="00AF3081" w:rsidRPr="009D243A" w:rsidSect="00A93987">
      <w:headerReference w:type="default" r:id="rId8"/>
      <w:footerReference w:type="default" r:id="rId9"/>
      <w:pgSz w:w="11906" w:h="16838" w:code="9"/>
      <w:pgMar w:top="1741" w:right="1184"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2899" w14:textId="77777777" w:rsidR="00283CB2" w:rsidRDefault="00283CB2">
      <w:r>
        <w:separator/>
      </w:r>
    </w:p>
  </w:endnote>
  <w:endnote w:type="continuationSeparator" w:id="0">
    <w:p w14:paraId="09BDF20B" w14:textId="77777777" w:rsidR="00283CB2" w:rsidRDefault="0028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8905" w14:textId="77777777" w:rsidR="006C5109" w:rsidRDefault="006C5109" w:rsidP="002C6D0C">
    <w:pPr>
      <w:pStyle w:val="Fuzeile"/>
      <w:tabs>
        <w:tab w:val="clear" w:pos="4536"/>
        <w:tab w:val="clear" w:pos="9072"/>
        <w:tab w:val="left" w:pos="7768"/>
      </w:tabs>
      <w:rPr>
        <w:szCs w:val="18"/>
      </w:rPr>
    </w:pPr>
  </w:p>
  <w:p w14:paraId="55D276DB" w14:textId="10DFD1E9" w:rsidR="00061284" w:rsidRPr="00D45DB4" w:rsidRDefault="00061284" w:rsidP="002C6D0C">
    <w:pPr>
      <w:pStyle w:val="Fuzeile"/>
      <w:tabs>
        <w:tab w:val="clear" w:pos="4536"/>
        <w:tab w:val="clear" w:pos="9072"/>
        <w:tab w:val="left" w:pos="7768"/>
      </w:tabs>
      <w:rPr>
        <w:rFonts w:cs="Tahoma"/>
        <w:sz w:val="14"/>
        <w:szCs w:val="14"/>
      </w:rPr>
    </w:pPr>
    <w:r>
      <w:rPr>
        <w:noProof/>
      </w:rPr>
      <mc:AlternateContent>
        <mc:Choice Requires="wps">
          <w:drawing>
            <wp:anchor distT="0" distB="0" distL="114299" distR="114299" simplePos="0" relativeHeight="251658240" behindDoc="0" locked="0" layoutInCell="1" allowOverlap="1" wp14:anchorId="32A844A7" wp14:editId="7C5E95C7">
              <wp:simplePos x="0" y="0"/>
              <wp:positionH relativeFrom="column">
                <wp:posOffset>4867274</wp:posOffset>
              </wp:positionH>
              <wp:positionV relativeFrom="paragraph">
                <wp:posOffset>-57150</wp:posOffset>
              </wp:positionV>
              <wp:extent cx="0" cy="342265"/>
              <wp:effectExtent l="0" t="0" r="2540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265"/>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6EF7" id="Line 6"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25pt,-4.5pt" to="383.25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" strokecolor="gray"/>
          </w:pict>
        </mc:Fallback>
      </mc:AlternateContent>
    </w:r>
    <w:r>
      <w:rPr>
        <w:szCs w:val="18"/>
      </w:rPr>
      <w:tab/>
    </w:r>
    <w:r w:rsidRPr="00D45DB4">
      <w:rPr>
        <w:rFonts w:cs="Tahoma"/>
        <w:sz w:val="14"/>
        <w:szCs w:val="14"/>
      </w:rPr>
      <w:t xml:space="preserve">Seite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PAGE</w:instrText>
    </w:r>
    <w:r w:rsidRPr="00D45DB4">
      <w:rPr>
        <w:rFonts w:cs="Tahoma"/>
        <w:sz w:val="14"/>
        <w:szCs w:val="14"/>
      </w:rPr>
      <w:instrText xml:space="preserve"> </w:instrText>
    </w:r>
    <w:r w:rsidRPr="00D45DB4">
      <w:rPr>
        <w:rFonts w:cs="Tahoma"/>
        <w:sz w:val="14"/>
        <w:szCs w:val="14"/>
      </w:rPr>
      <w:fldChar w:fldCharType="separate"/>
    </w:r>
    <w:r w:rsidR="001F5AB4">
      <w:rPr>
        <w:rFonts w:cs="Tahoma"/>
        <w:noProof/>
        <w:sz w:val="14"/>
        <w:szCs w:val="14"/>
      </w:rPr>
      <w:t>1</w:t>
    </w:r>
    <w:r w:rsidRPr="00D45DB4">
      <w:rPr>
        <w:rFonts w:cs="Tahoma"/>
        <w:sz w:val="14"/>
        <w:szCs w:val="14"/>
      </w:rPr>
      <w:fldChar w:fldCharType="end"/>
    </w:r>
    <w:r w:rsidRPr="00D45DB4">
      <w:rPr>
        <w:rFonts w:cs="Tahoma"/>
        <w:sz w:val="14"/>
        <w:szCs w:val="14"/>
      </w:rPr>
      <w:t xml:space="preserve"> von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NUMPAGES</w:instrText>
    </w:r>
    <w:r w:rsidRPr="00D45DB4">
      <w:rPr>
        <w:rFonts w:cs="Tahoma"/>
        <w:sz w:val="14"/>
        <w:szCs w:val="14"/>
      </w:rPr>
      <w:instrText xml:space="preserve"> </w:instrText>
    </w:r>
    <w:r w:rsidRPr="00D45DB4">
      <w:rPr>
        <w:rFonts w:cs="Tahoma"/>
        <w:sz w:val="14"/>
        <w:szCs w:val="14"/>
      </w:rPr>
      <w:fldChar w:fldCharType="separate"/>
    </w:r>
    <w:r w:rsidR="001F5AB4">
      <w:rPr>
        <w:rFonts w:cs="Tahoma"/>
        <w:noProof/>
        <w:sz w:val="14"/>
        <w:szCs w:val="14"/>
      </w:rPr>
      <w:t>3</w:t>
    </w:r>
    <w:r w:rsidRPr="00D45DB4">
      <w:rP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0A87" w14:textId="77777777" w:rsidR="00283CB2" w:rsidRDefault="00283CB2">
      <w:r>
        <w:separator/>
      </w:r>
    </w:p>
  </w:footnote>
  <w:footnote w:type="continuationSeparator" w:id="0">
    <w:p w14:paraId="71241B7B" w14:textId="77777777" w:rsidR="00283CB2" w:rsidRDefault="0028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F46E" w14:textId="77777777" w:rsidR="00A93987" w:rsidRDefault="00A93987" w:rsidP="00A93987">
    <w:pPr>
      <w:pStyle w:val="Kopfzeile"/>
      <w:jc w:val="right"/>
    </w:pPr>
    <w:r w:rsidRPr="00884A04">
      <w:rPr>
        <w:rFonts w:asciiTheme="minorHAnsi" w:hAnsiTheme="minorHAnsi" w:cstheme="minorHAnsi"/>
        <w:noProof/>
        <w:color w:val="000000" w:themeColor="text1"/>
        <w:sz w:val="20"/>
        <w:lang w:eastAsia="zh-CN"/>
      </w:rPr>
      <w:drawing>
        <wp:inline distT="0" distB="0" distL="0" distR="0" wp14:anchorId="0474DA0E" wp14:editId="11DE00BD">
          <wp:extent cx="1792030" cy="46405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2030" cy="464057"/>
                  </a:xfrm>
                  <a:prstGeom prst="rect">
                    <a:avLst/>
                  </a:prstGeom>
                </pic:spPr>
              </pic:pic>
            </a:graphicData>
          </a:graphic>
        </wp:inline>
      </w:drawing>
    </w:r>
  </w:p>
  <w:p w14:paraId="3B2C191F" w14:textId="77777777" w:rsidR="00A93987" w:rsidRDefault="00A93987" w:rsidP="00A93987">
    <w:pPr>
      <w:pStyle w:val="Kopfzeile"/>
      <w:jc w:val="right"/>
    </w:pPr>
  </w:p>
  <w:p w14:paraId="25CC892A" w14:textId="77777777" w:rsidR="00A93987" w:rsidRDefault="00A93987" w:rsidP="00A93987">
    <w:pPr>
      <w:pStyle w:val="Kopfzeile"/>
      <w:jc w:val="right"/>
    </w:pPr>
  </w:p>
  <w:p w14:paraId="32B6CE00" w14:textId="77777777" w:rsidR="00A93987" w:rsidRDefault="00A93987" w:rsidP="00A93987">
    <w:pPr>
      <w:pStyle w:val="Kopfzeile"/>
      <w:jc w:val="right"/>
    </w:pPr>
  </w:p>
  <w:p w14:paraId="2A09A341" w14:textId="77777777" w:rsidR="00A93987" w:rsidRDefault="00A93987" w:rsidP="00A93987">
    <w:pPr>
      <w:pStyle w:val="Kopfzeile"/>
      <w:jc w:val="right"/>
    </w:pPr>
  </w:p>
  <w:p w14:paraId="4EC8B281" w14:textId="77777777" w:rsidR="00A93987" w:rsidRDefault="00A93987" w:rsidP="00A93987">
    <w:pPr>
      <w:pStyle w:val="Kopfzeile"/>
      <w:jc w:val="right"/>
    </w:pPr>
  </w:p>
  <w:p w14:paraId="595DBFA5" w14:textId="78EF2545" w:rsidR="00061284" w:rsidRPr="002466AD" w:rsidRDefault="00061284" w:rsidP="00A93987">
    <w:pPr>
      <w:pStyle w:val="Kopfzeile"/>
      <w:tabs>
        <w:tab w:val="clear" w:pos="4536"/>
        <w:tab w:val="clear" w:pos="9072"/>
        <w:tab w:val="left" w:pos="7768"/>
      </w:tabs>
      <w:rPr>
        <w:rFonts w:cs="Tahoma"/>
        <w:sz w:val="14"/>
        <w:szCs w:val="14"/>
      </w:rPr>
    </w:pPr>
    <w:r>
      <w:rPr>
        <w:rFonts w:cs="Tahoma"/>
        <w:sz w:val="14"/>
        <w:szCs w:val="14"/>
      </w:rPr>
      <w:tab/>
    </w:r>
  </w:p>
  <w:p w14:paraId="7126800A" w14:textId="607834A6" w:rsidR="00061284" w:rsidRPr="002466AD" w:rsidRDefault="00061284" w:rsidP="009E43A3">
    <w:pPr>
      <w:pStyle w:val="Kopfzeile"/>
      <w:tabs>
        <w:tab w:val="clear" w:pos="4536"/>
        <w:tab w:val="clear" w:pos="9072"/>
        <w:tab w:val="left" w:pos="7768"/>
      </w:tabs>
      <w:rPr>
        <w:rFonts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2A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08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827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A2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87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82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9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8E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EE4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5AA"/>
    <w:multiLevelType w:val="hybridMultilevel"/>
    <w:tmpl w:val="00D65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733477"/>
    <w:multiLevelType w:val="hybridMultilevel"/>
    <w:tmpl w:val="0F0CA31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98264D"/>
    <w:multiLevelType w:val="hybridMultilevel"/>
    <w:tmpl w:val="31422E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C60BB8"/>
    <w:multiLevelType w:val="hybridMultilevel"/>
    <w:tmpl w:val="8F44A0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F83DFF"/>
    <w:multiLevelType w:val="hybridMultilevel"/>
    <w:tmpl w:val="63089E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B23837"/>
    <w:multiLevelType w:val="hybridMultilevel"/>
    <w:tmpl w:val="9A30AE4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A4288E"/>
    <w:multiLevelType w:val="hybridMultilevel"/>
    <w:tmpl w:val="F462E6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E7779A"/>
    <w:multiLevelType w:val="hybridMultilevel"/>
    <w:tmpl w:val="2338A6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E770E5"/>
    <w:multiLevelType w:val="hybridMultilevel"/>
    <w:tmpl w:val="8CB8FB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4C7ED3"/>
    <w:multiLevelType w:val="hybridMultilevel"/>
    <w:tmpl w:val="4CBACA6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39029C"/>
    <w:multiLevelType w:val="hybridMultilevel"/>
    <w:tmpl w:val="A9B653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2F2FBB"/>
    <w:multiLevelType w:val="hybridMultilevel"/>
    <w:tmpl w:val="B6F8F0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63C2C"/>
    <w:multiLevelType w:val="hybridMultilevel"/>
    <w:tmpl w:val="B984B4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CA6D4E"/>
    <w:multiLevelType w:val="hybridMultilevel"/>
    <w:tmpl w:val="4B58E6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C2A58"/>
    <w:multiLevelType w:val="hybridMultilevel"/>
    <w:tmpl w:val="3EF831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0A29F7"/>
    <w:multiLevelType w:val="hybridMultilevel"/>
    <w:tmpl w:val="442A77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5A05DB"/>
    <w:multiLevelType w:val="hybridMultilevel"/>
    <w:tmpl w:val="C2C8F69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9D07F9"/>
    <w:multiLevelType w:val="hybridMultilevel"/>
    <w:tmpl w:val="2FFE83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9E48F5"/>
    <w:multiLevelType w:val="hybridMultilevel"/>
    <w:tmpl w:val="55F885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BE21D5"/>
    <w:multiLevelType w:val="hybridMultilevel"/>
    <w:tmpl w:val="619E44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552802"/>
    <w:multiLevelType w:val="hybridMultilevel"/>
    <w:tmpl w:val="35BCE3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5A650F"/>
    <w:multiLevelType w:val="hybridMultilevel"/>
    <w:tmpl w:val="9F1804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413158"/>
    <w:multiLevelType w:val="hybridMultilevel"/>
    <w:tmpl w:val="6F7679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296EC7"/>
    <w:multiLevelType w:val="hybridMultilevel"/>
    <w:tmpl w:val="1828FF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A52D8A"/>
    <w:multiLevelType w:val="hybridMultilevel"/>
    <w:tmpl w:val="70F045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337C64"/>
    <w:multiLevelType w:val="hybridMultilevel"/>
    <w:tmpl w:val="CFA8E00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43314"/>
    <w:multiLevelType w:val="hybridMultilevel"/>
    <w:tmpl w:val="ABCC2A5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4E55D6"/>
    <w:multiLevelType w:val="hybridMultilevel"/>
    <w:tmpl w:val="6A243E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05520A"/>
    <w:multiLevelType w:val="hybridMultilevel"/>
    <w:tmpl w:val="2E08300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A2071"/>
    <w:multiLevelType w:val="hybridMultilevel"/>
    <w:tmpl w:val="AEB299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C7404"/>
    <w:multiLevelType w:val="hybridMultilevel"/>
    <w:tmpl w:val="FC2E17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F777D2"/>
    <w:multiLevelType w:val="hybridMultilevel"/>
    <w:tmpl w:val="0A8029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7D56EB"/>
    <w:multiLevelType w:val="hybridMultilevel"/>
    <w:tmpl w:val="7164A39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372B11"/>
    <w:multiLevelType w:val="hybridMultilevel"/>
    <w:tmpl w:val="E82C682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530049"/>
    <w:multiLevelType w:val="hybridMultilevel"/>
    <w:tmpl w:val="41FCD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C734EE"/>
    <w:multiLevelType w:val="hybridMultilevel"/>
    <w:tmpl w:val="84AA10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37"/>
  </w:num>
  <w:num w:numId="4">
    <w:abstractNumId w:val="27"/>
  </w:num>
  <w:num w:numId="5">
    <w:abstractNumId w:val="23"/>
  </w:num>
  <w:num w:numId="6">
    <w:abstractNumId w:val="29"/>
  </w:num>
  <w:num w:numId="7">
    <w:abstractNumId w:val="28"/>
  </w:num>
  <w:num w:numId="8">
    <w:abstractNumId w:val="44"/>
  </w:num>
  <w:num w:numId="9">
    <w:abstractNumId w:val="45"/>
  </w:num>
  <w:num w:numId="10">
    <w:abstractNumId w:val="30"/>
  </w:num>
  <w:num w:numId="11">
    <w:abstractNumId w:val="22"/>
  </w:num>
  <w:num w:numId="12">
    <w:abstractNumId w:val="33"/>
  </w:num>
  <w:num w:numId="13">
    <w:abstractNumId w:val="16"/>
  </w:num>
  <w:num w:numId="14">
    <w:abstractNumId w:val="25"/>
  </w:num>
  <w:num w:numId="15">
    <w:abstractNumId w:val="31"/>
  </w:num>
  <w:num w:numId="16">
    <w:abstractNumId w:val="39"/>
  </w:num>
  <w:num w:numId="17">
    <w:abstractNumId w:val="24"/>
  </w:num>
  <w:num w:numId="18">
    <w:abstractNumId w:val="34"/>
  </w:num>
  <w:num w:numId="19">
    <w:abstractNumId w:val="41"/>
  </w:num>
  <w:num w:numId="20">
    <w:abstractNumId w:val="40"/>
  </w:num>
  <w:num w:numId="21">
    <w:abstractNumId w:val="12"/>
  </w:num>
  <w:num w:numId="22">
    <w:abstractNumId w:val="36"/>
  </w:num>
  <w:num w:numId="23">
    <w:abstractNumId w:val="32"/>
  </w:num>
  <w:num w:numId="24">
    <w:abstractNumId w:val="10"/>
  </w:num>
  <w:num w:numId="25">
    <w:abstractNumId w:val="21"/>
  </w:num>
  <w:num w:numId="26">
    <w:abstractNumId w:val="26"/>
  </w:num>
  <w:num w:numId="27">
    <w:abstractNumId w:val="35"/>
  </w:num>
  <w:num w:numId="28">
    <w:abstractNumId w:val="14"/>
  </w:num>
  <w:num w:numId="29">
    <w:abstractNumId w:val="20"/>
  </w:num>
  <w:num w:numId="30">
    <w:abstractNumId w:val="42"/>
  </w:num>
  <w:num w:numId="31">
    <w:abstractNumId w:val="43"/>
  </w:num>
  <w:num w:numId="32">
    <w:abstractNumId w:val="11"/>
  </w:num>
  <w:num w:numId="33">
    <w:abstractNumId w:val="15"/>
  </w:num>
  <w:num w:numId="34">
    <w:abstractNumId w:val="19"/>
  </w:num>
  <w:num w:numId="35">
    <w:abstractNumId w:val="38"/>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7"/>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2217"/>
    <w:rsid w:val="0001275B"/>
    <w:rsid w:val="000130B5"/>
    <w:rsid w:val="00014EFC"/>
    <w:rsid w:val="00015AA1"/>
    <w:rsid w:val="00015C41"/>
    <w:rsid w:val="00016537"/>
    <w:rsid w:val="000174D1"/>
    <w:rsid w:val="000177AA"/>
    <w:rsid w:val="00017DC1"/>
    <w:rsid w:val="0002086C"/>
    <w:rsid w:val="00020FAE"/>
    <w:rsid w:val="00022342"/>
    <w:rsid w:val="00022AB7"/>
    <w:rsid w:val="00022BFE"/>
    <w:rsid w:val="000238DA"/>
    <w:rsid w:val="00023E9D"/>
    <w:rsid w:val="00024B2F"/>
    <w:rsid w:val="00025008"/>
    <w:rsid w:val="00026461"/>
    <w:rsid w:val="00026617"/>
    <w:rsid w:val="00026862"/>
    <w:rsid w:val="000277D3"/>
    <w:rsid w:val="00027973"/>
    <w:rsid w:val="0003144B"/>
    <w:rsid w:val="000330A8"/>
    <w:rsid w:val="000344BB"/>
    <w:rsid w:val="00034521"/>
    <w:rsid w:val="00034B06"/>
    <w:rsid w:val="0003502B"/>
    <w:rsid w:val="00035149"/>
    <w:rsid w:val="0003658F"/>
    <w:rsid w:val="000379B9"/>
    <w:rsid w:val="00037C98"/>
    <w:rsid w:val="000414FC"/>
    <w:rsid w:val="00041B16"/>
    <w:rsid w:val="00041E8A"/>
    <w:rsid w:val="00044271"/>
    <w:rsid w:val="0004519A"/>
    <w:rsid w:val="00045D2C"/>
    <w:rsid w:val="00045DC8"/>
    <w:rsid w:val="00047241"/>
    <w:rsid w:val="00047418"/>
    <w:rsid w:val="000477BE"/>
    <w:rsid w:val="00047901"/>
    <w:rsid w:val="00051B9C"/>
    <w:rsid w:val="00052321"/>
    <w:rsid w:val="00052E12"/>
    <w:rsid w:val="00053A78"/>
    <w:rsid w:val="00053C98"/>
    <w:rsid w:val="0005479E"/>
    <w:rsid w:val="00055199"/>
    <w:rsid w:val="000560AA"/>
    <w:rsid w:val="000572CB"/>
    <w:rsid w:val="000577BF"/>
    <w:rsid w:val="00057A54"/>
    <w:rsid w:val="00057AB7"/>
    <w:rsid w:val="00060137"/>
    <w:rsid w:val="0006086C"/>
    <w:rsid w:val="00060CEF"/>
    <w:rsid w:val="00061284"/>
    <w:rsid w:val="00061A96"/>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7672"/>
    <w:rsid w:val="00077AB5"/>
    <w:rsid w:val="00077E4B"/>
    <w:rsid w:val="00077E62"/>
    <w:rsid w:val="00081812"/>
    <w:rsid w:val="00081A4E"/>
    <w:rsid w:val="00082EF7"/>
    <w:rsid w:val="00082F03"/>
    <w:rsid w:val="0008361A"/>
    <w:rsid w:val="00084B08"/>
    <w:rsid w:val="00085BE4"/>
    <w:rsid w:val="00085DAF"/>
    <w:rsid w:val="00086DC0"/>
    <w:rsid w:val="000872DF"/>
    <w:rsid w:val="00087442"/>
    <w:rsid w:val="00090F62"/>
    <w:rsid w:val="00092C55"/>
    <w:rsid w:val="00092F8F"/>
    <w:rsid w:val="00093D7E"/>
    <w:rsid w:val="00094D59"/>
    <w:rsid w:val="000956F4"/>
    <w:rsid w:val="00095C8D"/>
    <w:rsid w:val="000964CD"/>
    <w:rsid w:val="00096811"/>
    <w:rsid w:val="00096FE3"/>
    <w:rsid w:val="000A00F4"/>
    <w:rsid w:val="000A1B5B"/>
    <w:rsid w:val="000A1E6F"/>
    <w:rsid w:val="000A2519"/>
    <w:rsid w:val="000A29BF"/>
    <w:rsid w:val="000A3169"/>
    <w:rsid w:val="000A3811"/>
    <w:rsid w:val="000A3916"/>
    <w:rsid w:val="000A4026"/>
    <w:rsid w:val="000A414C"/>
    <w:rsid w:val="000A4341"/>
    <w:rsid w:val="000A4D90"/>
    <w:rsid w:val="000A4E92"/>
    <w:rsid w:val="000A4FF8"/>
    <w:rsid w:val="000A516F"/>
    <w:rsid w:val="000A555B"/>
    <w:rsid w:val="000A556F"/>
    <w:rsid w:val="000A6AFC"/>
    <w:rsid w:val="000A7C2F"/>
    <w:rsid w:val="000B01D7"/>
    <w:rsid w:val="000B0A8C"/>
    <w:rsid w:val="000B1ADC"/>
    <w:rsid w:val="000B32DB"/>
    <w:rsid w:val="000B4503"/>
    <w:rsid w:val="000B4543"/>
    <w:rsid w:val="000B45C8"/>
    <w:rsid w:val="000B4AEC"/>
    <w:rsid w:val="000B6296"/>
    <w:rsid w:val="000B6318"/>
    <w:rsid w:val="000B7468"/>
    <w:rsid w:val="000C0440"/>
    <w:rsid w:val="000C0854"/>
    <w:rsid w:val="000C168E"/>
    <w:rsid w:val="000C1826"/>
    <w:rsid w:val="000C2C17"/>
    <w:rsid w:val="000C363C"/>
    <w:rsid w:val="000C3B09"/>
    <w:rsid w:val="000C4172"/>
    <w:rsid w:val="000C4A47"/>
    <w:rsid w:val="000C4BB1"/>
    <w:rsid w:val="000C5080"/>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E71"/>
    <w:rsid w:val="000F1309"/>
    <w:rsid w:val="000F18FA"/>
    <w:rsid w:val="000F1A7B"/>
    <w:rsid w:val="000F1D31"/>
    <w:rsid w:val="000F3265"/>
    <w:rsid w:val="000F4EF5"/>
    <w:rsid w:val="000F5A35"/>
    <w:rsid w:val="000F7373"/>
    <w:rsid w:val="000F7667"/>
    <w:rsid w:val="000F7E15"/>
    <w:rsid w:val="00101D5D"/>
    <w:rsid w:val="00101F9E"/>
    <w:rsid w:val="0010490C"/>
    <w:rsid w:val="00105968"/>
    <w:rsid w:val="00105EA7"/>
    <w:rsid w:val="001061A5"/>
    <w:rsid w:val="00106C20"/>
    <w:rsid w:val="00107A5A"/>
    <w:rsid w:val="00107FC2"/>
    <w:rsid w:val="0011298F"/>
    <w:rsid w:val="00113698"/>
    <w:rsid w:val="00114B6F"/>
    <w:rsid w:val="0011598D"/>
    <w:rsid w:val="0011682E"/>
    <w:rsid w:val="0011705F"/>
    <w:rsid w:val="001175CF"/>
    <w:rsid w:val="00117696"/>
    <w:rsid w:val="0012007E"/>
    <w:rsid w:val="001209CD"/>
    <w:rsid w:val="00120C45"/>
    <w:rsid w:val="00120D0D"/>
    <w:rsid w:val="00122509"/>
    <w:rsid w:val="00122C94"/>
    <w:rsid w:val="00122DDF"/>
    <w:rsid w:val="00123681"/>
    <w:rsid w:val="001237B3"/>
    <w:rsid w:val="00123B73"/>
    <w:rsid w:val="001242DE"/>
    <w:rsid w:val="001248D1"/>
    <w:rsid w:val="00124B95"/>
    <w:rsid w:val="00124EEF"/>
    <w:rsid w:val="0012600B"/>
    <w:rsid w:val="00130022"/>
    <w:rsid w:val="00130437"/>
    <w:rsid w:val="0013075E"/>
    <w:rsid w:val="00130C7A"/>
    <w:rsid w:val="00131EC5"/>
    <w:rsid w:val="00132A8A"/>
    <w:rsid w:val="001334F0"/>
    <w:rsid w:val="00133A8F"/>
    <w:rsid w:val="00133BE1"/>
    <w:rsid w:val="00133F89"/>
    <w:rsid w:val="00134476"/>
    <w:rsid w:val="00134742"/>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3A0E"/>
    <w:rsid w:val="00144839"/>
    <w:rsid w:val="00145289"/>
    <w:rsid w:val="00145B20"/>
    <w:rsid w:val="00146797"/>
    <w:rsid w:val="001500FB"/>
    <w:rsid w:val="00152B3B"/>
    <w:rsid w:val="00152E9C"/>
    <w:rsid w:val="001532FD"/>
    <w:rsid w:val="0015460A"/>
    <w:rsid w:val="0015483E"/>
    <w:rsid w:val="00154FE0"/>
    <w:rsid w:val="00155899"/>
    <w:rsid w:val="00155DAB"/>
    <w:rsid w:val="00156D4C"/>
    <w:rsid w:val="0015769A"/>
    <w:rsid w:val="001614EE"/>
    <w:rsid w:val="001614EF"/>
    <w:rsid w:val="00161670"/>
    <w:rsid w:val="001620C1"/>
    <w:rsid w:val="001623C6"/>
    <w:rsid w:val="00165AA8"/>
    <w:rsid w:val="00167065"/>
    <w:rsid w:val="00170A76"/>
    <w:rsid w:val="00170B27"/>
    <w:rsid w:val="00170FEA"/>
    <w:rsid w:val="00171B1A"/>
    <w:rsid w:val="00172C57"/>
    <w:rsid w:val="00172E30"/>
    <w:rsid w:val="0017471D"/>
    <w:rsid w:val="00174E25"/>
    <w:rsid w:val="001761DB"/>
    <w:rsid w:val="00176BBE"/>
    <w:rsid w:val="00180AE4"/>
    <w:rsid w:val="00182208"/>
    <w:rsid w:val="001840CD"/>
    <w:rsid w:val="0018441B"/>
    <w:rsid w:val="0018554D"/>
    <w:rsid w:val="001856AA"/>
    <w:rsid w:val="001866EA"/>
    <w:rsid w:val="00186986"/>
    <w:rsid w:val="00186D06"/>
    <w:rsid w:val="00187867"/>
    <w:rsid w:val="00190485"/>
    <w:rsid w:val="00190894"/>
    <w:rsid w:val="00192717"/>
    <w:rsid w:val="001929F6"/>
    <w:rsid w:val="00192BB2"/>
    <w:rsid w:val="00193250"/>
    <w:rsid w:val="00195FE7"/>
    <w:rsid w:val="00196D0B"/>
    <w:rsid w:val="00196FBC"/>
    <w:rsid w:val="00197101"/>
    <w:rsid w:val="00197BC9"/>
    <w:rsid w:val="00197D93"/>
    <w:rsid w:val="001A02EF"/>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0B76"/>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A15"/>
    <w:rsid w:val="001E7CA9"/>
    <w:rsid w:val="001F0EE6"/>
    <w:rsid w:val="001F1082"/>
    <w:rsid w:val="001F1FE5"/>
    <w:rsid w:val="001F2217"/>
    <w:rsid w:val="001F2C9F"/>
    <w:rsid w:val="001F3654"/>
    <w:rsid w:val="001F3EB6"/>
    <w:rsid w:val="001F3F66"/>
    <w:rsid w:val="001F4247"/>
    <w:rsid w:val="001F4784"/>
    <w:rsid w:val="001F5AB4"/>
    <w:rsid w:val="001F78BD"/>
    <w:rsid w:val="00200A07"/>
    <w:rsid w:val="00201E40"/>
    <w:rsid w:val="002020F9"/>
    <w:rsid w:val="00202296"/>
    <w:rsid w:val="00202B46"/>
    <w:rsid w:val="00203495"/>
    <w:rsid w:val="00203C4A"/>
    <w:rsid w:val="00204008"/>
    <w:rsid w:val="00204327"/>
    <w:rsid w:val="002060BD"/>
    <w:rsid w:val="00206389"/>
    <w:rsid w:val="00207700"/>
    <w:rsid w:val="002107C7"/>
    <w:rsid w:val="00210952"/>
    <w:rsid w:val="00210D67"/>
    <w:rsid w:val="00210E3B"/>
    <w:rsid w:val="00211695"/>
    <w:rsid w:val="0021180C"/>
    <w:rsid w:val="00213417"/>
    <w:rsid w:val="00213760"/>
    <w:rsid w:val="002137A2"/>
    <w:rsid w:val="0021394C"/>
    <w:rsid w:val="00214676"/>
    <w:rsid w:val="0021679E"/>
    <w:rsid w:val="0021732E"/>
    <w:rsid w:val="00217ACC"/>
    <w:rsid w:val="00217EA2"/>
    <w:rsid w:val="00217FB6"/>
    <w:rsid w:val="002204E9"/>
    <w:rsid w:val="00220C6C"/>
    <w:rsid w:val="00221A88"/>
    <w:rsid w:val="00222201"/>
    <w:rsid w:val="002224B8"/>
    <w:rsid w:val="00222EB0"/>
    <w:rsid w:val="00222F49"/>
    <w:rsid w:val="002239FA"/>
    <w:rsid w:val="00223E8C"/>
    <w:rsid w:val="00224CBE"/>
    <w:rsid w:val="002254E3"/>
    <w:rsid w:val="0022584F"/>
    <w:rsid w:val="00226C2E"/>
    <w:rsid w:val="00226CBB"/>
    <w:rsid w:val="00227D2E"/>
    <w:rsid w:val="00230796"/>
    <w:rsid w:val="00232822"/>
    <w:rsid w:val="00232FD0"/>
    <w:rsid w:val="0023314E"/>
    <w:rsid w:val="00233661"/>
    <w:rsid w:val="00233E97"/>
    <w:rsid w:val="00234AF8"/>
    <w:rsid w:val="0023502B"/>
    <w:rsid w:val="002354F2"/>
    <w:rsid w:val="00235D99"/>
    <w:rsid w:val="002362FC"/>
    <w:rsid w:val="00236544"/>
    <w:rsid w:val="00237A1A"/>
    <w:rsid w:val="00237CBF"/>
    <w:rsid w:val="002402F0"/>
    <w:rsid w:val="00240410"/>
    <w:rsid w:val="0024080B"/>
    <w:rsid w:val="002417F9"/>
    <w:rsid w:val="00242FC8"/>
    <w:rsid w:val="00243299"/>
    <w:rsid w:val="0024550C"/>
    <w:rsid w:val="00245932"/>
    <w:rsid w:val="002466AD"/>
    <w:rsid w:val="00246F0A"/>
    <w:rsid w:val="002472C8"/>
    <w:rsid w:val="00247FA6"/>
    <w:rsid w:val="0025171B"/>
    <w:rsid w:val="00251929"/>
    <w:rsid w:val="00251E9E"/>
    <w:rsid w:val="002521B0"/>
    <w:rsid w:val="002522A4"/>
    <w:rsid w:val="0025236C"/>
    <w:rsid w:val="00252640"/>
    <w:rsid w:val="00252D91"/>
    <w:rsid w:val="00252E43"/>
    <w:rsid w:val="002534C2"/>
    <w:rsid w:val="0025512E"/>
    <w:rsid w:val="00255464"/>
    <w:rsid w:val="00255650"/>
    <w:rsid w:val="00256A41"/>
    <w:rsid w:val="00256C5B"/>
    <w:rsid w:val="00257341"/>
    <w:rsid w:val="00260EAB"/>
    <w:rsid w:val="00261828"/>
    <w:rsid w:val="00262429"/>
    <w:rsid w:val="0026257F"/>
    <w:rsid w:val="00264204"/>
    <w:rsid w:val="0026427E"/>
    <w:rsid w:val="002651DC"/>
    <w:rsid w:val="00265BB6"/>
    <w:rsid w:val="00265CF0"/>
    <w:rsid w:val="00266863"/>
    <w:rsid w:val="00266B75"/>
    <w:rsid w:val="00266C95"/>
    <w:rsid w:val="00266FBC"/>
    <w:rsid w:val="00267B64"/>
    <w:rsid w:val="00270025"/>
    <w:rsid w:val="00270CD0"/>
    <w:rsid w:val="0027109A"/>
    <w:rsid w:val="0027196C"/>
    <w:rsid w:val="00271AA9"/>
    <w:rsid w:val="00272027"/>
    <w:rsid w:val="0027290A"/>
    <w:rsid w:val="00273BD8"/>
    <w:rsid w:val="0027404E"/>
    <w:rsid w:val="00274D34"/>
    <w:rsid w:val="00275580"/>
    <w:rsid w:val="00275ABF"/>
    <w:rsid w:val="00276C9D"/>
    <w:rsid w:val="00277045"/>
    <w:rsid w:val="00277CB5"/>
    <w:rsid w:val="002801E4"/>
    <w:rsid w:val="00280797"/>
    <w:rsid w:val="00283803"/>
    <w:rsid w:val="00283A96"/>
    <w:rsid w:val="00283BE1"/>
    <w:rsid w:val="00283CB2"/>
    <w:rsid w:val="002852FA"/>
    <w:rsid w:val="00285A9D"/>
    <w:rsid w:val="002864D9"/>
    <w:rsid w:val="00287B9D"/>
    <w:rsid w:val="00290C6C"/>
    <w:rsid w:val="00290EB0"/>
    <w:rsid w:val="00291FD5"/>
    <w:rsid w:val="00292042"/>
    <w:rsid w:val="002928F5"/>
    <w:rsid w:val="0029344A"/>
    <w:rsid w:val="00293AD9"/>
    <w:rsid w:val="00293CE4"/>
    <w:rsid w:val="002953A1"/>
    <w:rsid w:val="00296A9A"/>
    <w:rsid w:val="00297085"/>
    <w:rsid w:val="002A08F8"/>
    <w:rsid w:val="002A090D"/>
    <w:rsid w:val="002A1454"/>
    <w:rsid w:val="002A1467"/>
    <w:rsid w:val="002A201E"/>
    <w:rsid w:val="002A2094"/>
    <w:rsid w:val="002A3AF7"/>
    <w:rsid w:val="002A47D9"/>
    <w:rsid w:val="002A4828"/>
    <w:rsid w:val="002A5B1E"/>
    <w:rsid w:val="002A7B1C"/>
    <w:rsid w:val="002B0521"/>
    <w:rsid w:val="002B1CBC"/>
    <w:rsid w:val="002B2279"/>
    <w:rsid w:val="002B2F46"/>
    <w:rsid w:val="002B36F6"/>
    <w:rsid w:val="002B3B88"/>
    <w:rsid w:val="002B3CB2"/>
    <w:rsid w:val="002B5204"/>
    <w:rsid w:val="002B685C"/>
    <w:rsid w:val="002B6C2A"/>
    <w:rsid w:val="002B6F0A"/>
    <w:rsid w:val="002B7197"/>
    <w:rsid w:val="002C0021"/>
    <w:rsid w:val="002C1B07"/>
    <w:rsid w:val="002C1E47"/>
    <w:rsid w:val="002C2304"/>
    <w:rsid w:val="002C29EE"/>
    <w:rsid w:val="002C4074"/>
    <w:rsid w:val="002C40FD"/>
    <w:rsid w:val="002C4FBD"/>
    <w:rsid w:val="002C54F2"/>
    <w:rsid w:val="002C6D0C"/>
    <w:rsid w:val="002C6EA7"/>
    <w:rsid w:val="002C78C9"/>
    <w:rsid w:val="002D07FE"/>
    <w:rsid w:val="002D2363"/>
    <w:rsid w:val="002D2D8B"/>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764F"/>
    <w:rsid w:val="002F04AB"/>
    <w:rsid w:val="002F0A4F"/>
    <w:rsid w:val="002F16D1"/>
    <w:rsid w:val="002F17ED"/>
    <w:rsid w:val="002F1FB0"/>
    <w:rsid w:val="002F2F6A"/>
    <w:rsid w:val="002F3D71"/>
    <w:rsid w:val="002F3F00"/>
    <w:rsid w:val="002F5736"/>
    <w:rsid w:val="002F61A0"/>
    <w:rsid w:val="002F6991"/>
    <w:rsid w:val="002F76F9"/>
    <w:rsid w:val="002F773F"/>
    <w:rsid w:val="003009E7"/>
    <w:rsid w:val="00300EF5"/>
    <w:rsid w:val="0030182B"/>
    <w:rsid w:val="0030186E"/>
    <w:rsid w:val="00301C5E"/>
    <w:rsid w:val="00301D90"/>
    <w:rsid w:val="00302D86"/>
    <w:rsid w:val="00303E5D"/>
    <w:rsid w:val="00304A88"/>
    <w:rsid w:val="00305368"/>
    <w:rsid w:val="00305CD7"/>
    <w:rsid w:val="00305D42"/>
    <w:rsid w:val="0030671B"/>
    <w:rsid w:val="003071D4"/>
    <w:rsid w:val="00307FA7"/>
    <w:rsid w:val="003102F7"/>
    <w:rsid w:val="00310664"/>
    <w:rsid w:val="003135A8"/>
    <w:rsid w:val="00313712"/>
    <w:rsid w:val="00314985"/>
    <w:rsid w:val="00314E03"/>
    <w:rsid w:val="00315FE5"/>
    <w:rsid w:val="003169C7"/>
    <w:rsid w:val="00316E29"/>
    <w:rsid w:val="00320797"/>
    <w:rsid w:val="00323271"/>
    <w:rsid w:val="003232C1"/>
    <w:rsid w:val="003233B5"/>
    <w:rsid w:val="00324019"/>
    <w:rsid w:val="00324B9A"/>
    <w:rsid w:val="00324C65"/>
    <w:rsid w:val="003252AB"/>
    <w:rsid w:val="00325621"/>
    <w:rsid w:val="0032739F"/>
    <w:rsid w:val="00330694"/>
    <w:rsid w:val="00331250"/>
    <w:rsid w:val="003314C5"/>
    <w:rsid w:val="00332922"/>
    <w:rsid w:val="00332A8C"/>
    <w:rsid w:val="00332EBC"/>
    <w:rsid w:val="00333AB2"/>
    <w:rsid w:val="00334729"/>
    <w:rsid w:val="00336156"/>
    <w:rsid w:val="0033707D"/>
    <w:rsid w:val="00337925"/>
    <w:rsid w:val="00337DB0"/>
    <w:rsid w:val="003400FB"/>
    <w:rsid w:val="003402A9"/>
    <w:rsid w:val="00341513"/>
    <w:rsid w:val="00343375"/>
    <w:rsid w:val="00343D33"/>
    <w:rsid w:val="003440F3"/>
    <w:rsid w:val="003442BE"/>
    <w:rsid w:val="0034497E"/>
    <w:rsid w:val="00344D7D"/>
    <w:rsid w:val="00345525"/>
    <w:rsid w:val="00346FF5"/>
    <w:rsid w:val="0034742C"/>
    <w:rsid w:val="00350E7D"/>
    <w:rsid w:val="0035178F"/>
    <w:rsid w:val="00351942"/>
    <w:rsid w:val="00353A1E"/>
    <w:rsid w:val="003542C7"/>
    <w:rsid w:val="00354353"/>
    <w:rsid w:val="003544AE"/>
    <w:rsid w:val="003553DC"/>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2137"/>
    <w:rsid w:val="0037215D"/>
    <w:rsid w:val="003734D2"/>
    <w:rsid w:val="00373CA6"/>
    <w:rsid w:val="003745F5"/>
    <w:rsid w:val="00374D7C"/>
    <w:rsid w:val="00374E21"/>
    <w:rsid w:val="00374EA3"/>
    <w:rsid w:val="0037508C"/>
    <w:rsid w:val="003759FC"/>
    <w:rsid w:val="00376C7E"/>
    <w:rsid w:val="00376EAD"/>
    <w:rsid w:val="0037795F"/>
    <w:rsid w:val="00380A0B"/>
    <w:rsid w:val="00380AA9"/>
    <w:rsid w:val="003814BE"/>
    <w:rsid w:val="00381C7E"/>
    <w:rsid w:val="003824D3"/>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3"/>
    <w:rsid w:val="00393F13"/>
    <w:rsid w:val="003940A5"/>
    <w:rsid w:val="00394EB3"/>
    <w:rsid w:val="00395632"/>
    <w:rsid w:val="00397C14"/>
    <w:rsid w:val="003A0A69"/>
    <w:rsid w:val="003A0E0A"/>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771"/>
    <w:rsid w:val="003B52C0"/>
    <w:rsid w:val="003B5B14"/>
    <w:rsid w:val="003B5FA4"/>
    <w:rsid w:val="003B6458"/>
    <w:rsid w:val="003C01A0"/>
    <w:rsid w:val="003C02C2"/>
    <w:rsid w:val="003C0E63"/>
    <w:rsid w:val="003C1EDA"/>
    <w:rsid w:val="003C25BC"/>
    <w:rsid w:val="003C2BF7"/>
    <w:rsid w:val="003C3331"/>
    <w:rsid w:val="003C3350"/>
    <w:rsid w:val="003C6871"/>
    <w:rsid w:val="003C6C73"/>
    <w:rsid w:val="003C7726"/>
    <w:rsid w:val="003C792A"/>
    <w:rsid w:val="003C7BD3"/>
    <w:rsid w:val="003C7E43"/>
    <w:rsid w:val="003D073C"/>
    <w:rsid w:val="003D0ADA"/>
    <w:rsid w:val="003D15A5"/>
    <w:rsid w:val="003D163E"/>
    <w:rsid w:val="003D1D20"/>
    <w:rsid w:val="003D25D3"/>
    <w:rsid w:val="003D29FA"/>
    <w:rsid w:val="003D49A5"/>
    <w:rsid w:val="003D5462"/>
    <w:rsid w:val="003D5E6D"/>
    <w:rsid w:val="003D614D"/>
    <w:rsid w:val="003D6336"/>
    <w:rsid w:val="003D6FE9"/>
    <w:rsid w:val="003D71C1"/>
    <w:rsid w:val="003E12ED"/>
    <w:rsid w:val="003E13E9"/>
    <w:rsid w:val="003E1E71"/>
    <w:rsid w:val="003E3DDF"/>
    <w:rsid w:val="003E4772"/>
    <w:rsid w:val="003E49B6"/>
    <w:rsid w:val="003F07DE"/>
    <w:rsid w:val="003F0BF2"/>
    <w:rsid w:val="003F0D18"/>
    <w:rsid w:val="003F0DC2"/>
    <w:rsid w:val="003F0F65"/>
    <w:rsid w:val="003F112F"/>
    <w:rsid w:val="003F3EA3"/>
    <w:rsid w:val="003F4787"/>
    <w:rsid w:val="003F5191"/>
    <w:rsid w:val="003F5359"/>
    <w:rsid w:val="003F59D1"/>
    <w:rsid w:val="003F6E88"/>
    <w:rsid w:val="003F7CC0"/>
    <w:rsid w:val="00400D8B"/>
    <w:rsid w:val="00401298"/>
    <w:rsid w:val="004042B9"/>
    <w:rsid w:val="00405242"/>
    <w:rsid w:val="00405918"/>
    <w:rsid w:val="00405B33"/>
    <w:rsid w:val="00405D44"/>
    <w:rsid w:val="00411566"/>
    <w:rsid w:val="004124FE"/>
    <w:rsid w:val="004125F6"/>
    <w:rsid w:val="004136F9"/>
    <w:rsid w:val="00414611"/>
    <w:rsid w:val="00414766"/>
    <w:rsid w:val="00415649"/>
    <w:rsid w:val="004174C0"/>
    <w:rsid w:val="00417AFF"/>
    <w:rsid w:val="0042037A"/>
    <w:rsid w:val="00421CA7"/>
    <w:rsid w:val="00422E8D"/>
    <w:rsid w:val="00423E82"/>
    <w:rsid w:val="0042513F"/>
    <w:rsid w:val="004253C1"/>
    <w:rsid w:val="00425E06"/>
    <w:rsid w:val="00426F5C"/>
    <w:rsid w:val="004273A9"/>
    <w:rsid w:val="004305AC"/>
    <w:rsid w:val="00431C66"/>
    <w:rsid w:val="004338EB"/>
    <w:rsid w:val="0043504F"/>
    <w:rsid w:val="00435C61"/>
    <w:rsid w:val="00436145"/>
    <w:rsid w:val="0043631B"/>
    <w:rsid w:val="00436662"/>
    <w:rsid w:val="004373AA"/>
    <w:rsid w:val="00440660"/>
    <w:rsid w:val="00440699"/>
    <w:rsid w:val="00440EE9"/>
    <w:rsid w:val="00441436"/>
    <w:rsid w:val="00442402"/>
    <w:rsid w:val="00443BD5"/>
    <w:rsid w:val="00443F06"/>
    <w:rsid w:val="00446797"/>
    <w:rsid w:val="004467B7"/>
    <w:rsid w:val="00450574"/>
    <w:rsid w:val="004509A1"/>
    <w:rsid w:val="00451529"/>
    <w:rsid w:val="00451FCF"/>
    <w:rsid w:val="00452099"/>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5F2"/>
    <w:rsid w:val="00465B5A"/>
    <w:rsid w:val="00466D84"/>
    <w:rsid w:val="00467BE5"/>
    <w:rsid w:val="00470139"/>
    <w:rsid w:val="004703CF"/>
    <w:rsid w:val="00471049"/>
    <w:rsid w:val="00471429"/>
    <w:rsid w:val="00471B22"/>
    <w:rsid w:val="004721CB"/>
    <w:rsid w:val="00475034"/>
    <w:rsid w:val="004751B7"/>
    <w:rsid w:val="004772E5"/>
    <w:rsid w:val="0047737B"/>
    <w:rsid w:val="00477920"/>
    <w:rsid w:val="004805F5"/>
    <w:rsid w:val="00481711"/>
    <w:rsid w:val="004821E1"/>
    <w:rsid w:val="0048317F"/>
    <w:rsid w:val="00483A61"/>
    <w:rsid w:val="00483A93"/>
    <w:rsid w:val="004868DF"/>
    <w:rsid w:val="0048694D"/>
    <w:rsid w:val="004903AF"/>
    <w:rsid w:val="004919A4"/>
    <w:rsid w:val="00492431"/>
    <w:rsid w:val="00492CE8"/>
    <w:rsid w:val="00492EA2"/>
    <w:rsid w:val="00493541"/>
    <w:rsid w:val="00494103"/>
    <w:rsid w:val="00497069"/>
    <w:rsid w:val="00497497"/>
    <w:rsid w:val="004A057C"/>
    <w:rsid w:val="004A08FC"/>
    <w:rsid w:val="004A1A95"/>
    <w:rsid w:val="004A1C5C"/>
    <w:rsid w:val="004A2BED"/>
    <w:rsid w:val="004A4816"/>
    <w:rsid w:val="004A4B86"/>
    <w:rsid w:val="004A51A3"/>
    <w:rsid w:val="004A6665"/>
    <w:rsid w:val="004A7AC9"/>
    <w:rsid w:val="004A7BD6"/>
    <w:rsid w:val="004B1C1B"/>
    <w:rsid w:val="004B3320"/>
    <w:rsid w:val="004B51E9"/>
    <w:rsid w:val="004B5D1A"/>
    <w:rsid w:val="004B6943"/>
    <w:rsid w:val="004B69F2"/>
    <w:rsid w:val="004B6BE6"/>
    <w:rsid w:val="004B6CE1"/>
    <w:rsid w:val="004B732F"/>
    <w:rsid w:val="004B779A"/>
    <w:rsid w:val="004C163D"/>
    <w:rsid w:val="004C1AA5"/>
    <w:rsid w:val="004C2255"/>
    <w:rsid w:val="004C3066"/>
    <w:rsid w:val="004C4D32"/>
    <w:rsid w:val="004D134F"/>
    <w:rsid w:val="004D13DE"/>
    <w:rsid w:val="004D150A"/>
    <w:rsid w:val="004D3846"/>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016"/>
    <w:rsid w:val="004E7265"/>
    <w:rsid w:val="004F1692"/>
    <w:rsid w:val="004F25C3"/>
    <w:rsid w:val="004F26A7"/>
    <w:rsid w:val="004F5229"/>
    <w:rsid w:val="004F68D9"/>
    <w:rsid w:val="004F73B7"/>
    <w:rsid w:val="004F77EF"/>
    <w:rsid w:val="004F7AA7"/>
    <w:rsid w:val="00500A80"/>
    <w:rsid w:val="00500DF7"/>
    <w:rsid w:val="00501A6C"/>
    <w:rsid w:val="005023A6"/>
    <w:rsid w:val="0050275C"/>
    <w:rsid w:val="00503366"/>
    <w:rsid w:val="00503869"/>
    <w:rsid w:val="0050487F"/>
    <w:rsid w:val="00506B27"/>
    <w:rsid w:val="00506F6C"/>
    <w:rsid w:val="00507383"/>
    <w:rsid w:val="005108A9"/>
    <w:rsid w:val="00511190"/>
    <w:rsid w:val="00512ABB"/>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30E3"/>
    <w:rsid w:val="00544DAA"/>
    <w:rsid w:val="00544E3A"/>
    <w:rsid w:val="00545A58"/>
    <w:rsid w:val="00545E1F"/>
    <w:rsid w:val="005462ED"/>
    <w:rsid w:val="00546D7B"/>
    <w:rsid w:val="0054707E"/>
    <w:rsid w:val="00547C99"/>
    <w:rsid w:val="00551E40"/>
    <w:rsid w:val="005541B2"/>
    <w:rsid w:val="00555D75"/>
    <w:rsid w:val="00555E37"/>
    <w:rsid w:val="00556EA6"/>
    <w:rsid w:val="00557909"/>
    <w:rsid w:val="0056026F"/>
    <w:rsid w:val="00560369"/>
    <w:rsid w:val="005609B8"/>
    <w:rsid w:val="00560C06"/>
    <w:rsid w:val="0056136D"/>
    <w:rsid w:val="00561CF8"/>
    <w:rsid w:val="005659AF"/>
    <w:rsid w:val="00565CA4"/>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5B56"/>
    <w:rsid w:val="00586314"/>
    <w:rsid w:val="00586529"/>
    <w:rsid w:val="00587036"/>
    <w:rsid w:val="005875C7"/>
    <w:rsid w:val="00590158"/>
    <w:rsid w:val="0059055B"/>
    <w:rsid w:val="00592DD8"/>
    <w:rsid w:val="00594582"/>
    <w:rsid w:val="0059489A"/>
    <w:rsid w:val="005951CD"/>
    <w:rsid w:val="005973CB"/>
    <w:rsid w:val="00597AF0"/>
    <w:rsid w:val="005A02A9"/>
    <w:rsid w:val="005A0706"/>
    <w:rsid w:val="005A2384"/>
    <w:rsid w:val="005A2B75"/>
    <w:rsid w:val="005A2D13"/>
    <w:rsid w:val="005A3E60"/>
    <w:rsid w:val="005A4A5C"/>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6EA5"/>
    <w:rsid w:val="005B7283"/>
    <w:rsid w:val="005B72EA"/>
    <w:rsid w:val="005C015F"/>
    <w:rsid w:val="005C0E8A"/>
    <w:rsid w:val="005C0EAA"/>
    <w:rsid w:val="005C36FE"/>
    <w:rsid w:val="005C3D67"/>
    <w:rsid w:val="005C3F2B"/>
    <w:rsid w:val="005C4B91"/>
    <w:rsid w:val="005C508A"/>
    <w:rsid w:val="005C63EE"/>
    <w:rsid w:val="005C6934"/>
    <w:rsid w:val="005C6B39"/>
    <w:rsid w:val="005D0272"/>
    <w:rsid w:val="005D1AD7"/>
    <w:rsid w:val="005D2269"/>
    <w:rsid w:val="005D234C"/>
    <w:rsid w:val="005D414E"/>
    <w:rsid w:val="005D463E"/>
    <w:rsid w:val="005D46F6"/>
    <w:rsid w:val="005D4788"/>
    <w:rsid w:val="005D52A8"/>
    <w:rsid w:val="005D57BD"/>
    <w:rsid w:val="005D61DB"/>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17C8"/>
    <w:rsid w:val="005F201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5228"/>
    <w:rsid w:val="00605BBF"/>
    <w:rsid w:val="00606598"/>
    <w:rsid w:val="00607349"/>
    <w:rsid w:val="00610934"/>
    <w:rsid w:val="00610AE4"/>
    <w:rsid w:val="00611CD6"/>
    <w:rsid w:val="00611EE8"/>
    <w:rsid w:val="00612D7C"/>
    <w:rsid w:val="00615FE2"/>
    <w:rsid w:val="0061649C"/>
    <w:rsid w:val="00616795"/>
    <w:rsid w:val="006179D0"/>
    <w:rsid w:val="00617C1F"/>
    <w:rsid w:val="00620B4E"/>
    <w:rsid w:val="006217B5"/>
    <w:rsid w:val="006226B4"/>
    <w:rsid w:val="00622AC9"/>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48E"/>
    <w:rsid w:val="00635606"/>
    <w:rsid w:val="006363DF"/>
    <w:rsid w:val="00636591"/>
    <w:rsid w:val="00636EBE"/>
    <w:rsid w:val="0063700B"/>
    <w:rsid w:val="0063700F"/>
    <w:rsid w:val="00637875"/>
    <w:rsid w:val="006414A8"/>
    <w:rsid w:val="006415F1"/>
    <w:rsid w:val="0064231D"/>
    <w:rsid w:val="006426D2"/>
    <w:rsid w:val="0064448B"/>
    <w:rsid w:val="0064511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17B"/>
    <w:rsid w:val="00657A34"/>
    <w:rsid w:val="00660422"/>
    <w:rsid w:val="00660B54"/>
    <w:rsid w:val="00662283"/>
    <w:rsid w:val="0066287B"/>
    <w:rsid w:val="006633EA"/>
    <w:rsid w:val="00663595"/>
    <w:rsid w:val="0066444F"/>
    <w:rsid w:val="00664C02"/>
    <w:rsid w:val="00666DB7"/>
    <w:rsid w:val="00667954"/>
    <w:rsid w:val="00670210"/>
    <w:rsid w:val="0067040B"/>
    <w:rsid w:val="0067059E"/>
    <w:rsid w:val="00671213"/>
    <w:rsid w:val="00671812"/>
    <w:rsid w:val="00671940"/>
    <w:rsid w:val="00671C16"/>
    <w:rsid w:val="00673324"/>
    <w:rsid w:val="00673E67"/>
    <w:rsid w:val="00674038"/>
    <w:rsid w:val="0067451A"/>
    <w:rsid w:val="0067541D"/>
    <w:rsid w:val="00676D03"/>
    <w:rsid w:val="00677DC8"/>
    <w:rsid w:val="006815AF"/>
    <w:rsid w:val="00681B86"/>
    <w:rsid w:val="00681EAC"/>
    <w:rsid w:val="006837FA"/>
    <w:rsid w:val="00683F50"/>
    <w:rsid w:val="0068557E"/>
    <w:rsid w:val="006866E0"/>
    <w:rsid w:val="00687379"/>
    <w:rsid w:val="00687706"/>
    <w:rsid w:val="006903D4"/>
    <w:rsid w:val="006905FF"/>
    <w:rsid w:val="00691739"/>
    <w:rsid w:val="00691F0F"/>
    <w:rsid w:val="00692139"/>
    <w:rsid w:val="0069234C"/>
    <w:rsid w:val="00692A06"/>
    <w:rsid w:val="00692FA7"/>
    <w:rsid w:val="006934BE"/>
    <w:rsid w:val="006935BB"/>
    <w:rsid w:val="006942FB"/>
    <w:rsid w:val="00694320"/>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8C"/>
    <w:rsid w:val="006A65B1"/>
    <w:rsid w:val="006A66E8"/>
    <w:rsid w:val="006A7500"/>
    <w:rsid w:val="006B0B2D"/>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109"/>
    <w:rsid w:val="006C56CC"/>
    <w:rsid w:val="006C57A8"/>
    <w:rsid w:val="006C6081"/>
    <w:rsid w:val="006C667B"/>
    <w:rsid w:val="006C697E"/>
    <w:rsid w:val="006C7522"/>
    <w:rsid w:val="006C7BD9"/>
    <w:rsid w:val="006C7D6F"/>
    <w:rsid w:val="006D0E46"/>
    <w:rsid w:val="006D3E30"/>
    <w:rsid w:val="006D4D6B"/>
    <w:rsid w:val="006D5331"/>
    <w:rsid w:val="006D58AD"/>
    <w:rsid w:val="006D7005"/>
    <w:rsid w:val="006E0015"/>
    <w:rsid w:val="006E0CA6"/>
    <w:rsid w:val="006E108F"/>
    <w:rsid w:val="006E1945"/>
    <w:rsid w:val="006E2B26"/>
    <w:rsid w:val="006E3066"/>
    <w:rsid w:val="006E397B"/>
    <w:rsid w:val="006E4F45"/>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125EC"/>
    <w:rsid w:val="00712827"/>
    <w:rsid w:val="007131B7"/>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2D9B"/>
    <w:rsid w:val="0073358D"/>
    <w:rsid w:val="00733B57"/>
    <w:rsid w:val="0073502E"/>
    <w:rsid w:val="00735654"/>
    <w:rsid w:val="00736475"/>
    <w:rsid w:val="00736A7B"/>
    <w:rsid w:val="00736D98"/>
    <w:rsid w:val="00737AC4"/>
    <w:rsid w:val="0074021F"/>
    <w:rsid w:val="00741187"/>
    <w:rsid w:val="0074132F"/>
    <w:rsid w:val="00741401"/>
    <w:rsid w:val="007423E2"/>
    <w:rsid w:val="007427AC"/>
    <w:rsid w:val="0074428F"/>
    <w:rsid w:val="0074430F"/>
    <w:rsid w:val="00744DB5"/>
    <w:rsid w:val="0074649E"/>
    <w:rsid w:val="0074680B"/>
    <w:rsid w:val="00746E5A"/>
    <w:rsid w:val="00747280"/>
    <w:rsid w:val="0075137F"/>
    <w:rsid w:val="00752DAA"/>
    <w:rsid w:val="007538C7"/>
    <w:rsid w:val="00753B35"/>
    <w:rsid w:val="0075423F"/>
    <w:rsid w:val="00754C42"/>
    <w:rsid w:val="00755DF3"/>
    <w:rsid w:val="00756A47"/>
    <w:rsid w:val="007576E5"/>
    <w:rsid w:val="00757820"/>
    <w:rsid w:val="00757CDC"/>
    <w:rsid w:val="00757E93"/>
    <w:rsid w:val="007608BE"/>
    <w:rsid w:val="00760D7C"/>
    <w:rsid w:val="0076124B"/>
    <w:rsid w:val="007614A4"/>
    <w:rsid w:val="00761880"/>
    <w:rsid w:val="00765411"/>
    <w:rsid w:val="007666C1"/>
    <w:rsid w:val="00770206"/>
    <w:rsid w:val="00770A0E"/>
    <w:rsid w:val="0077104C"/>
    <w:rsid w:val="00772181"/>
    <w:rsid w:val="00772A54"/>
    <w:rsid w:val="007730B7"/>
    <w:rsid w:val="007736E1"/>
    <w:rsid w:val="00773E0D"/>
    <w:rsid w:val="00773E94"/>
    <w:rsid w:val="00774A58"/>
    <w:rsid w:val="0077504D"/>
    <w:rsid w:val="007758CF"/>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496D"/>
    <w:rsid w:val="00796E5F"/>
    <w:rsid w:val="007A07F2"/>
    <w:rsid w:val="007A0D84"/>
    <w:rsid w:val="007A2457"/>
    <w:rsid w:val="007A2597"/>
    <w:rsid w:val="007A3C5A"/>
    <w:rsid w:val="007A4619"/>
    <w:rsid w:val="007A4B9E"/>
    <w:rsid w:val="007A5103"/>
    <w:rsid w:val="007A5671"/>
    <w:rsid w:val="007A5D17"/>
    <w:rsid w:val="007A6C17"/>
    <w:rsid w:val="007B0852"/>
    <w:rsid w:val="007B1233"/>
    <w:rsid w:val="007B2130"/>
    <w:rsid w:val="007B2DDA"/>
    <w:rsid w:val="007B2EEB"/>
    <w:rsid w:val="007B46DB"/>
    <w:rsid w:val="007B4E45"/>
    <w:rsid w:val="007B4E8B"/>
    <w:rsid w:val="007B55F0"/>
    <w:rsid w:val="007B6BA1"/>
    <w:rsid w:val="007B6CF8"/>
    <w:rsid w:val="007B76AB"/>
    <w:rsid w:val="007B7BB8"/>
    <w:rsid w:val="007C0940"/>
    <w:rsid w:val="007C0C2E"/>
    <w:rsid w:val="007C10F4"/>
    <w:rsid w:val="007C1B8F"/>
    <w:rsid w:val="007C2578"/>
    <w:rsid w:val="007C5D33"/>
    <w:rsid w:val="007C5D88"/>
    <w:rsid w:val="007C7CD9"/>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2FE"/>
    <w:rsid w:val="007E4562"/>
    <w:rsid w:val="007E56AF"/>
    <w:rsid w:val="007E60D7"/>
    <w:rsid w:val="007E6FA6"/>
    <w:rsid w:val="007E70DA"/>
    <w:rsid w:val="007E7EF1"/>
    <w:rsid w:val="007F1D15"/>
    <w:rsid w:val="007F1E9B"/>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3EA"/>
    <w:rsid w:val="008208F0"/>
    <w:rsid w:val="00822190"/>
    <w:rsid w:val="00822833"/>
    <w:rsid w:val="00822BCD"/>
    <w:rsid w:val="00822C94"/>
    <w:rsid w:val="008230CD"/>
    <w:rsid w:val="008236AC"/>
    <w:rsid w:val="00823DD8"/>
    <w:rsid w:val="0082444F"/>
    <w:rsid w:val="00825702"/>
    <w:rsid w:val="008259A3"/>
    <w:rsid w:val="00825B37"/>
    <w:rsid w:val="00826BD3"/>
    <w:rsid w:val="00827106"/>
    <w:rsid w:val="00827F4D"/>
    <w:rsid w:val="00830C48"/>
    <w:rsid w:val="00830CCF"/>
    <w:rsid w:val="00831379"/>
    <w:rsid w:val="00831D7D"/>
    <w:rsid w:val="00832A9E"/>
    <w:rsid w:val="0083315C"/>
    <w:rsid w:val="008348CE"/>
    <w:rsid w:val="00834EF4"/>
    <w:rsid w:val="00835073"/>
    <w:rsid w:val="00835EB0"/>
    <w:rsid w:val="00836C7F"/>
    <w:rsid w:val="008371DA"/>
    <w:rsid w:val="0083724B"/>
    <w:rsid w:val="00837844"/>
    <w:rsid w:val="008378C8"/>
    <w:rsid w:val="00837B9D"/>
    <w:rsid w:val="00837EC8"/>
    <w:rsid w:val="0084041A"/>
    <w:rsid w:val="0084047E"/>
    <w:rsid w:val="00840569"/>
    <w:rsid w:val="008406DD"/>
    <w:rsid w:val="00840B8E"/>
    <w:rsid w:val="00840FB5"/>
    <w:rsid w:val="0084381E"/>
    <w:rsid w:val="00843EB6"/>
    <w:rsid w:val="0084423B"/>
    <w:rsid w:val="00845019"/>
    <w:rsid w:val="008455C5"/>
    <w:rsid w:val="00847659"/>
    <w:rsid w:val="00847FB2"/>
    <w:rsid w:val="0085084F"/>
    <w:rsid w:val="00851C82"/>
    <w:rsid w:val="00851C86"/>
    <w:rsid w:val="0085289D"/>
    <w:rsid w:val="00852BF3"/>
    <w:rsid w:val="008530E8"/>
    <w:rsid w:val="0085352E"/>
    <w:rsid w:val="008543E3"/>
    <w:rsid w:val="0085448A"/>
    <w:rsid w:val="00854538"/>
    <w:rsid w:val="00854865"/>
    <w:rsid w:val="008554AB"/>
    <w:rsid w:val="00855534"/>
    <w:rsid w:val="008559B9"/>
    <w:rsid w:val="0085706D"/>
    <w:rsid w:val="00860E8D"/>
    <w:rsid w:val="00861078"/>
    <w:rsid w:val="00862564"/>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85D"/>
    <w:rsid w:val="00884D10"/>
    <w:rsid w:val="008865BF"/>
    <w:rsid w:val="00887709"/>
    <w:rsid w:val="008878AC"/>
    <w:rsid w:val="00887AEE"/>
    <w:rsid w:val="00890AEB"/>
    <w:rsid w:val="00890E8F"/>
    <w:rsid w:val="008934AA"/>
    <w:rsid w:val="008944A4"/>
    <w:rsid w:val="0089487F"/>
    <w:rsid w:val="008A02D8"/>
    <w:rsid w:val="008A1A2D"/>
    <w:rsid w:val="008A2507"/>
    <w:rsid w:val="008A283A"/>
    <w:rsid w:val="008A36EB"/>
    <w:rsid w:val="008A46DD"/>
    <w:rsid w:val="008A5843"/>
    <w:rsid w:val="008A5D7F"/>
    <w:rsid w:val="008A61A4"/>
    <w:rsid w:val="008A701B"/>
    <w:rsid w:val="008A7159"/>
    <w:rsid w:val="008A75A4"/>
    <w:rsid w:val="008B0BB3"/>
    <w:rsid w:val="008B0CFC"/>
    <w:rsid w:val="008B10D4"/>
    <w:rsid w:val="008B1A4B"/>
    <w:rsid w:val="008B2174"/>
    <w:rsid w:val="008B2239"/>
    <w:rsid w:val="008B22AE"/>
    <w:rsid w:val="008B2667"/>
    <w:rsid w:val="008B2D97"/>
    <w:rsid w:val="008B2DFD"/>
    <w:rsid w:val="008B4B45"/>
    <w:rsid w:val="008B538D"/>
    <w:rsid w:val="008B5433"/>
    <w:rsid w:val="008B5AD9"/>
    <w:rsid w:val="008B6896"/>
    <w:rsid w:val="008B7C5A"/>
    <w:rsid w:val="008C0301"/>
    <w:rsid w:val="008C0BE7"/>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535C"/>
    <w:rsid w:val="008D5845"/>
    <w:rsid w:val="008D590A"/>
    <w:rsid w:val="008D6DDE"/>
    <w:rsid w:val="008D6DF9"/>
    <w:rsid w:val="008D6ED5"/>
    <w:rsid w:val="008D6F77"/>
    <w:rsid w:val="008D7494"/>
    <w:rsid w:val="008E09CB"/>
    <w:rsid w:val="008E0A0B"/>
    <w:rsid w:val="008E0ECF"/>
    <w:rsid w:val="008E2422"/>
    <w:rsid w:val="008E24E1"/>
    <w:rsid w:val="008E2AAC"/>
    <w:rsid w:val="008E3224"/>
    <w:rsid w:val="008E3A82"/>
    <w:rsid w:val="008E3BD1"/>
    <w:rsid w:val="008E42EC"/>
    <w:rsid w:val="008E44EE"/>
    <w:rsid w:val="008E55BC"/>
    <w:rsid w:val="008E58F5"/>
    <w:rsid w:val="008E5CAC"/>
    <w:rsid w:val="008E6570"/>
    <w:rsid w:val="008E6EB8"/>
    <w:rsid w:val="008F0094"/>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1D4"/>
    <w:rsid w:val="009064EE"/>
    <w:rsid w:val="009078D6"/>
    <w:rsid w:val="00907A0C"/>
    <w:rsid w:val="0091091B"/>
    <w:rsid w:val="009111F9"/>
    <w:rsid w:val="00911ADD"/>
    <w:rsid w:val="009127E4"/>
    <w:rsid w:val="00912849"/>
    <w:rsid w:val="009133AB"/>
    <w:rsid w:val="00915CC0"/>
    <w:rsid w:val="00916A4C"/>
    <w:rsid w:val="00917096"/>
    <w:rsid w:val="00917ED0"/>
    <w:rsid w:val="00920F72"/>
    <w:rsid w:val="00921B4F"/>
    <w:rsid w:val="00922010"/>
    <w:rsid w:val="00923B74"/>
    <w:rsid w:val="00923D94"/>
    <w:rsid w:val="00924D50"/>
    <w:rsid w:val="00927501"/>
    <w:rsid w:val="00927688"/>
    <w:rsid w:val="009312D5"/>
    <w:rsid w:val="009343C2"/>
    <w:rsid w:val="00934A9A"/>
    <w:rsid w:val="00934CD2"/>
    <w:rsid w:val="00935005"/>
    <w:rsid w:val="0093512D"/>
    <w:rsid w:val="009375F9"/>
    <w:rsid w:val="00937D93"/>
    <w:rsid w:val="00940103"/>
    <w:rsid w:val="00940AA0"/>
    <w:rsid w:val="00940F7E"/>
    <w:rsid w:val="00941675"/>
    <w:rsid w:val="00942D73"/>
    <w:rsid w:val="00943459"/>
    <w:rsid w:val="0094391A"/>
    <w:rsid w:val="009444D8"/>
    <w:rsid w:val="00944816"/>
    <w:rsid w:val="00944B22"/>
    <w:rsid w:val="009456FB"/>
    <w:rsid w:val="00945FC1"/>
    <w:rsid w:val="0094641D"/>
    <w:rsid w:val="009477E5"/>
    <w:rsid w:val="0095064A"/>
    <w:rsid w:val="0095231C"/>
    <w:rsid w:val="00952338"/>
    <w:rsid w:val="009524B2"/>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F98"/>
    <w:rsid w:val="0096551C"/>
    <w:rsid w:val="00966050"/>
    <w:rsid w:val="00966600"/>
    <w:rsid w:val="009701B2"/>
    <w:rsid w:val="0097044F"/>
    <w:rsid w:val="00971516"/>
    <w:rsid w:val="009720D5"/>
    <w:rsid w:val="009723A8"/>
    <w:rsid w:val="00975994"/>
    <w:rsid w:val="00975FD8"/>
    <w:rsid w:val="009770EC"/>
    <w:rsid w:val="00977300"/>
    <w:rsid w:val="009779EA"/>
    <w:rsid w:val="0098168B"/>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C50"/>
    <w:rsid w:val="00992280"/>
    <w:rsid w:val="009934DB"/>
    <w:rsid w:val="00993A08"/>
    <w:rsid w:val="00995A9C"/>
    <w:rsid w:val="00995F1C"/>
    <w:rsid w:val="00995F32"/>
    <w:rsid w:val="0099684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ACB"/>
    <w:rsid w:val="009A5F9C"/>
    <w:rsid w:val="009A6333"/>
    <w:rsid w:val="009A6BC7"/>
    <w:rsid w:val="009A7151"/>
    <w:rsid w:val="009A772C"/>
    <w:rsid w:val="009A7A54"/>
    <w:rsid w:val="009B02EC"/>
    <w:rsid w:val="009B093B"/>
    <w:rsid w:val="009B234D"/>
    <w:rsid w:val="009B2C47"/>
    <w:rsid w:val="009B33A1"/>
    <w:rsid w:val="009B440B"/>
    <w:rsid w:val="009B4C26"/>
    <w:rsid w:val="009B52AB"/>
    <w:rsid w:val="009B5ADD"/>
    <w:rsid w:val="009B633E"/>
    <w:rsid w:val="009B6625"/>
    <w:rsid w:val="009B6F5D"/>
    <w:rsid w:val="009C106F"/>
    <w:rsid w:val="009C1695"/>
    <w:rsid w:val="009C1F0E"/>
    <w:rsid w:val="009C28BF"/>
    <w:rsid w:val="009C29E7"/>
    <w:rsid w:val="009C334E"/>
    <w:rsid w:val="009C3BFF"/>
    <w:rsid w:val="009C4B47"/>
    <w:rsid w:val="009C5B65"/>
    <w:rsid w:val="009C6152"/>
    <w:rsid w:val="009C655B"/>
    <w:rsid w:val="009C6F95"/>
    <w:rsid w:val="009C73D6"/>
    <w:rsid w:val="009D06DF"/>
    <w:rsid w:val="009D112D"/>
    <w:rsid w:val="009D157D"/>
    <w:rsid w:val="009D1B8A"/>
    <w:rsid w:val="009D243A"/>
    <w:rsid w:val="009D3057"/>
    <w:rsid w:val="009D3C6F"/>
    <w:rsid w:val="009D406A"/>
    <w:rsid w:val="009D56CA"/>
    <w:rsid w:val="009D6140"/>
    <w:rsid w:val="009D6534"/>
    <w:rsid w:val="009D6DEE"/>
    <w:rsid w:val="009D75A6"/>
    <w:rsid w:val="009E0D72"/>
    <w:rsid w:val="009E23FE"/>
    <w:rsid w:val="009E3718"/>
    <w:rsid w:val="009E3CA2"/>
    <w:rsid w:val="009E43A3"/>
    <w:rsid w:val="009E47A2"/>
    <w:rsid w:val="009E5D4F"/>
    <w:rsid w:val="009E72AE"/>
    <w:rsid w:val="009E787B"/>
    <w:rsid w:val="009E7E88"/>
    <w:rsid w:val="009F0EC2"/>
    <w:rsid w:val="009F1331"/>
    <w:rsid w:val="009F17E8"/>
    <w:rsid w:val="009F458B"/>
    <w:rsid w:val="009F4F9A"/>
    <w:rsid w:val="009F7340"/>
    <w:rsid w:val="009F73D0"/>
    <w:rsid w:val="009F75FC"/>
    <w:rsid w:val="009F7942"/>
    <w:rsid w:val="00A003D5"/>
    <w:rsid w:val="00A00B37"/>
    <w:rsid w:val="00A033AC"/>
    <w:rsid w:val="00A036D0"/>
    <w:rsid w:val="00A058B5"/>
    <w:rsid w:val="00A05DF7"/>
    <w:rsid w:val="00A066D9"/>
    <w:rsid w:val="00A07541"/>
    <w:rsid w:val="00A07A5F"/>
    <w:rsid w:val="00A126C5"/>
    <w:rsid w:val="00A132FA"/>
    <w:rsid w:val="00A13F82"/>
    <w:rsid w:val="00A1518D"/>
    <w:rsid w:val="00A158F8"/>
    <w:rsid w:val="00A15A99"/>
    <w:rsid w:val="00A16027"/>
    <w:rsid w:val="00A161B5"/>
    <w:rsid w:val="00A162A7"/>
    <w:rsid w:val="00A16A81"/>
    <w:rsid w:val="00A16AA9"/>
    <w:rsid w:val="00A205E4"/>
    <w:rsid w:val="00A22AEA"/>
    <w:rsid w:val="00A22EA1"/>
    <w:rsid w:val="00A22EBB"/>
    <w:rsid w:val="00A24D06"/>
    <w:rsid w:val="00A254EB"/>
    <w:rsid w:val="00A26E38"/>
    <w:rsid w:val="00A2738C"/>
    <w:rsid w:val="00A3095C"/>
    <w:rsid w:val="00A32911"/>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651A"/>
    <w:rsid w:val="00A76A42"/>
    <w:rsid w:val="00A77142"/>
    <w:rsid w:val="00A77241"/>
    <w:rsid w:val="00A8097C"/>
    <w:rsid w:val="00A8103F"/>
    <w:rsid w:val="00A812D4"/>
    <w:rsid w:val="00A81D7C"/>
    <w:rsid w:val="00A8223C"/>
    <w:rsid w:val="00A8236F"/>
    <w:rsid w:val="00A82404"/>
    <w:rsid w:val="00A82560"/>
    <w:rsid w:val="00A8270A"/>
    <w:rsid w:val="00A8287A"/>
    <w:rsid w:val="00A843FF"/>
    <w:rsid w:val="00A85A28"/>
    <w:rsid w:val="00A865D4"/>
    <w:rsid w:val="00A86FC2"/>
    <w:rsid w:val="00A87030"/>
    <w:rsid w:val="00A9009C"/>
    <w:rsid w:val="00A912C9"/>
    <w:rsid w:val="00A914C0"/>
    <w:rsid w:val="00A92FED"/>
    <w:rsid w:val="00A93987"/>
    <w:rsid w:val="00A94546"/>
    <w:rsid w:val="00A95016"/>
    <w:rsid w:val="00A95B51"/>
    <w:rsid w:val="00A96190"/>
    <w:rsid w:val="00A96618"/>
    <w:rsid w:val="00A97BD4"/>
    <w:rsid w:val="00AA00B7"/>
    <w:rsid w:val="00AA1158"/>
    <w:rsid w:val="00AA116C"/>
    <w:rsid w:val="00AA1FB8"/>
    <w:rsid w:val="00AA2F68"/>
    <w:rsid w:val="00AA4296"/>
    <w:rsid w:val="00AA7229"/>
    <w:rsid w:val="00AA7BEE"/>
    <w:rsid w:val="00AA7DBD"/>
    <w:rsid w:val="00AB16DC"/>
    <w:rsid w:val="00AB1A51"/>
    <w:rsid w:val="00AB2581"/>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81C"/>
    <w:rsid w:val="00AC2BB2"/>
    <w:rsid w:val="00AC2F7B"/>
    <w:rsid w:val="00AC31FF"/>
    <w:rsid w:val="00AC3347"/>
    <w:rsid w:val="00AC36EB"/>
    <w:rsid w:val="00AC4694"/>
    <w:rsid w:val="00AC52CA"/>
    <w:rsid w:val="00AC7394"/>
    <w:rsid w:val="00AD00BD"/>
    <w:rsid w:val="00AD14B6"/>
    <w:rsid w:val="00AD232D"/>
    <w:rsid w:val="00AD3949"/>
    <w:rsid w:val="00AD5BC5"/>
    <w:rsid w:val="00AD5BD8"/>
    <w:rsid w:val="00AD6154"/>
    <w:rsid w:val="00AD6C11"/>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11A3"/>
    <w:rsid w:val="00AF1281"/>
    <w:rsid w:val="00AF28E8"/>
    <w:rsid w:val="00AF2BA4"/>
    <w:rsid w:val="00AF3081"/>
    <w:rsid w:val="00AF33CA"/>
    <w:rsid w:val="00AF5B4E"/>
    <w:rsid w:val="00AF6171"/>
    <w:rsid w:val="00AF6308"/>
    <w:rsid w:val="00AF6DE6"/>
    <w:rsid w:val="00B0005A"/>
    <w:rsid w:val="00B02BD2"/>
    <w:rsid w:val="00B02C76"/>
    <w:rsid w:val="00B032CA"/>
    <w:rsid w:val="00B037CA"/>
    <w:rsid w:val="00B03809"/>
    <w:rsid w:val="00B066FF"/>
    <w:rsid w:val="00B06DE3"/>
    <w:rsid w:val="00B07445"/>
    <w:rsid w:val="00B074FF"/>
    <w:rsid w:val="00B10636"/>
    <w:rsid w:val="00B11080"/>
    <w:rsid w:val="00B129AC"/>
    <w:rsid w:val="00B133E0"/>
    <w:rsid w:val="00B13758"/>
    <w:rsid w:val="00B13CCB"/>
    <w:rsid w:val="00B152DB"/>
    <w:rsid w:val="00B15761"/>
    <w:rsid w:val="00B16C0E"/>
    <w:rsid w:val="00B174DA"/>
    <w:rsid w:val="00B177AF"/>
    <w:rsid w:val="00B22740"/>
    <w:rsid w:val="00B22B1E"/>
    <w:rsid w:val="00B23550"/>
    <w:rsid w:val="00B2437F"/>
    <w:rsid w:val="00B244A1"/>
    <w:rsid w:val="00B267E4"/>
    <w:rsid w:val="00B268FE"/>
    <w:rsid w:val="00B31866"/>
    <w:rsid w:val="00B33A17"/>
    <w:rsid w:val="00B4002E"/>
    <w:rsid w:val="00B427A4"/>
    <w:rsid w:val="00B432CC"/>
    <w:rsid w:val="00B44A87"/>
    <w:rsid w:val="00B4759C"/>
    <w:rsid w:val="00B47BA0"/>
    <w:rsid w:val="00B50DBC"/>
    <w:rsid w:val="00B51173"/>
    <w:rsid w:val="00B51EE2"/>
    <w:rsid w:val="00B5325C"/>
    <w:rsid w:val="00B548D7"/>
    <w:rsid w:val="00B553D1"/>
    <w:rsid w:val="00B55691"/>
    <w:rsid w:val="00B55E03"/>
    <w:rsid w:val="00B55EC4"/>
    <w:rsid w:val="00B571AD"/>
    <w:rsid w:val="00B6189D"/>
    <w:rsid w:val="00B6279C"/>
    <w:rsid w:val="00B64787"/>
    <w:rsid w:val="00B64A67"/>
    <w:rsid w:val="00B64EFF"/>
    <w:rsid w:val="00B65478"/>
    <w:rsid w:val="00B660E0"/>
    <w:rsid w:val="00B66134"/>
    <w:rsid w:val="00B66E17"/>
    <w:rsid w:val="00B675FC"/>
    <w:rsid w:val="00B7021D"/>
    <w:rsid w:val="00B70848"/>
    <w:rsid w:val="00B72BE5"/>
    <w:rsid w:val="00B72F2F"/>
    <w:rsid w:val="00B73B76"/>
    <w:rsid w:val="00B750C8"/>
    <w:rsid w:val="00B75DF4"/>
    <w:rsid w:val="00B75EEB"/>
    <w:rsid w:val="00B76A30"/>
    <w:rsid w:val="00B76E4D"/>
    <w:rsid w:val="00B829F2"/>
    <w:rsid w:val="00B82B55"/>
    <w:rsid w:val="00B831AA"/>
    <w:rsid w:val="00B8587E"/>
    <w:rsid w:val="00B858F2"/>
    <w:rsid w:val="00B86A3B"/>
    <w:rsid w:val="00B87749"/>
    <w:rsid w:val="00B879D4"/>
    <w:rsid w:val="00B91788"/>
    <w:rsid w:val="00B91A5A"/>
    <w:rsid w:val="00B9245B"/>
    <w:rsid w:val="00B94122"/>
    <w:rsid w:val="00B9421E"/>
    <w:rsid w:val="00B94B6F"/>
    <w:rsid w:val="00B950EE"/>
    <w:rsid w:val="00B964DA"/>
    <w:rsid w:val="00B967BD"/>
    <w:rsid w:val="00B96CF9"/>
    <w:rsid w:val="00BA0D5B"/>
    <w:rsid w:val="00BA19F4"/>
    <w:rsid w:val="00BA2896"/>
    <w:rsid w:val="00BA4438"/>
    <w:rsid w:val="00BA44E8"/>
    <w:rsid w:val="00BA4A20"/>
    <w:rsid w:val="00BA5334"/>
    <w:rsid w:val="00BA58B3"/>
    <w:rsid w:val="00BA5C0B"/>
    <w:rsid w:val="00BA5F91"/>
    <w:rsid w:val="00BA68F1"/>
    <w:rsid w:val="00BA752A"/>
    <w:rsid w:val="00BA7E49"/>
    <w:rsid w:val="00BA7EAD"/>
    <w:rsid w:val="00BB0429"/>
    <w:rsid w:val="00BB0564"/>
    <w:rsid w:val="00BB0B9E"/>
    <w:rsid w:val="00BB3154"/>
    <w:rsid w:val="00BB3591"/>
    <w:rsid w:val="00BB398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1A82"/>
    <w:rsid w:val="00BC2DF4"/>
    <w:rsid w:val="00BC48A2"/>
    <w:rsid w:val="00BC4F2B"/>
    <w:rsid w:val="00BC50DA"/>
    <w:rsid w:val="00BC5A78"/>
    <w:rsid w:val="00BC5C5C"/>
    <w:rsid w:val="00BC6B55"/>
    <w:rsid w:val="00BC6BDB"/>
    <w:rsid w:val="00BC7935"/>
    <w:rsid w:val="00BD08E9"/>
    <w:rsid w:val="00BD1006"/>
    <w:rsid w:val="00BD1781"/>
    <w:rsid w:val="00BD1A2B"/>
    <w:rsid w:val="00BD2401"/>
    <w:rsid w:val="00BD26E4"/>
    <w:rsid w:val="00BD321C"/>
    <w:rsid w:val="00BD4852"/>
    <w:rsid w:val="00BD4BF7"/>
    <w:rsid w:val="00BD52EF"/>
    <w:rsid w:val="00BD58FD"/>
    <w:rsid w:val="00BD5C09"/>
    <w:rsid w:val="00BD6394"/>
    <w:rsid w:val="00BD70DF"/>
    <w:rsid w:val="00BD7B0D"/>
    <w:rsid w:val="00BD7C1B"/>
    <w:rsid w:val="00BE10DF"/>
    <w:rsid w:val="00BE1355"/>
    <w:rsid w:val="00BE144E"/>
    <w:rsid w:val="00BE1AA6"/>
    <w:rsid w:val="00BE1D00"/>
    <w:rsid w:val="00BE286B"/>
    <w:rsid w:val="00BE355C"/>
    <w:rsid w:val="00BE37F5"/>
    <w:rsid w:val="00BE3DF3"/>
    <w:rsid w:val="00BE50C1"/>
    <w:rsid w:val="00BE62D8"/>
    <w:rsid w:val="00BE7223"/>
    <w:rsid w:val="00BF1E14"/>
    <w:rsid w:val="00BF24B2"/>
    <w:rsid w:val="00BF32FE"/>
    <w:rsid w:val="00BF3943"/>
    <w:rsid w:val="00BF3B82"/>
    <w:rsid w:val="00BF614A"/>
    <w:rsid w:val="00BF6625"/>
    <w:rsid w:val="00BF75CB"/>
    <w:rsid w:val="00C011D3"/>
    <w:rsid w:val="00C016A7"/>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3E9A"/>
    <w:rsid w:val="00C1443B"/>
    <w:rsid w:val="00C146D1"/>
    <w:rsid w:val="00C15FDD"/>
    <w:rsid w:val="00C16CF3"/>
    <w:rsid w:val="00C203F3"/>
    <w:rsid w:val="00C206E6"/>
    <w:rsid w:val="00C21085"/>
    <w:rsid w:val="00C21780"/>
    <w:rsid w:val="00C222BD"/>
    <w:rsid w:val="00C2278D"/>
    <w:rsid w:val="00C22931"/>
    <w:rsid w:val="00C2306E"/>
    <w:rsid w:val="00C2324F"/>
    <w:rsid w:val="00C23314"/>
    <w:rsid w:val="00C23E54"/>
    <w:rsid w:val="00C25E30"/>
    <w:rsid w:val="00C26C88"/>
    <w:rsid w:val="00C278D5"/>
    <w:rsid w:val="00C30B94"/>
    <w:rsid w:val="00C30ED2"/>
    <w:rsid w:val="00C31695"/>
    <w:rsid w:val="00C317CE"/>
    <w:rsid w:val="00C32530"/>
    <w:rsid w:val="00C327BB"/>
    <w:rsid w:val="00C346B2"/>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542"/>
    <w:rsid w:val="00C67A2F"/>
    <w:rsid w:val="00C67B89"/>
    <w:rsid w:val="00C7001E"/>
    <w:rsid w:val="00C70A12"/>
    <w:rsid w:val="00C70F01"/>
    <w:rsid w:val="00C716E1"/>
    <w:rsid w:val="00C72608"/>
    <w:rsid w:val="00C72B36"/>
    <w:rsid w:val="00C734E6"/>
    <w:rsid w:val="00C74102"/>
    <w:rsid w:val="00C74A23"/>
    <w:rsid w:val="00C77363"/>
    <w:rsid w:val="00C802CA"/>
    <w:rsid w:val="00C8139A"/>
    <w:rsid w:val="00C81E05"/>
    <w:rsid w:val="00C82028"/>
    <w:rsid w:val="00C826B3"/>
    <w:rsid w:val="00C83A6B"/>
    <w:rsid w:val="00C83ACC"/>
    <w:rsid w:val="00C84472"/>
    <w:rsid w:val="00C84C30"/>
    <w:rsid w:val="00C85040"/>
    <w:rsid w:val="00C8539C"/>
    <w:rsid w:val="00C86AA2"/>
    <w:rsid w:val="00C906CC"/>
    <w:rsid w:val="00C9124F"/>
    <w:rsid w:val="00C91499"/>
    <w:rsid w:val="00C9227E"/>
    <w:rsid w:val="00C92884"/>
    <w:rsid w:val="00C9350D"/>
    <w:rsid w:val="00C93523"/>
    <w:rsid w:val="00C93AC3"/>
    <w:rsid w:val="00C9595F"/>
    <w:rsid w:val="00C97B85"/>
    <w:rsid w:val="00CA11E0"/>
    <w:rsid w:val="00CA1BB9"/>
    <w:rsid w:val="00CA2EEA"/>
    <w:rsid w:val="00CA3723"/>
    <w:rsid w:val="00CA3745"/>
    <w:rsid w:val="00CA3FBF"/>
    <w:rsid w:val="00CA612B"/>
    <w:rsid w:val="00CA71D0"/>
    <w:rsid w:val="00CB085C"/>
    <w:rsid w:val="00CB0906"/>
    <w:rsid w:val="00CB0AE6"/>
    <w:rsid w:val="00CB1684"/>
    <w:rsid w:val="00CB1BB0"/>
    <w:rsid w:val="00CB3022"/>
    <w:rsid w:val="00CB310E"/>
    <w:rsid w:val="00CB3D0E"/>
    <w:rsid w:val="00CB49DB"/>
    <w:rsid w:val="00CB52B3"/>
    <w:rsid w:val="00CB572C"/>
    <w:rsid w:val="00CB5F21"/>
    <w:rsid w:val="00CB7354"/>
    <w:rsid w:val="00CB759C"/>
    <w:rsid w:val="00CC0C65"/>
    <w:rsid w:val="00CC1277"/>
    <w:rsid w:val="00CC12B8"/>
    <w:rsid w:val="00CC1652"/>
    <w:rsid w:val="00CC3F1D"/>
    <w:rsid w:val="00CC4A9F"/>
    <w:rsid w:val="00CC5A1F"/>
    <w:rsid w:val="00CC65B3"/>
    <w:rsid w:val="00CC668A"/>
    <w:rsid w:val="00CC6AD1"/>
    <w:rsid w:val="00CD0311"/>
    <w:rsid w:val="00CD0CBF"/>
    <w:rsid w:val="00CD14E7"/>
    <w:rsid w:val="00CD205A"/>
    <w:rsid w:val="00CD2294"/>
    <w:rsid w:val="00CD2470"/>
    <w:rsid w:val="00CD264E"/>
    <w:rsid w:val="00CD3B3B"/>
    <w:rsid w:val="00CD5031"/>
    <w:rsid w:val="00CD6A14"/>
    <w:rsid w:val="00CD745B"/>
    <w:rsid w:val="00CE05E9"/>
    <w:rsid w:val="00CE17AE"/>
    <w:rsid w:val="00CE20A8"/>
    <w:rsid w:val="00CE2969"/>
    <w:rsid w:val="00CE29BB"/>
    <w:rsid w:val="00CE4CA1"/>
    <w:rsid w:val="00CE5610"/>
    <w:rsid w:val="00CE5904"/>
    <w:rsid w:val="00CE5A64"/>
    <w:rsid w:val="00CE63CF"/>
    <w:rsid w:val="00CE74AD"/>
    <w:rsid w:val="00CE7B77"/>
    <w:rsid w:val="00CE7FDF"/>
    <w:rsid w:val="00CF015B"/>
    <w:rsid w:val="00CF09CE"/>
    <w:rsid w:val="00CF24BA"/>
    <w:rsid w:val="00CF33EF"/>
    <w:rsid w:val="00CF35B7"/>
    <w:rsid w:val="00CF3904"/>
    <w:rsid w:val="00CF3FB2"/>
    <w:rsid w:val="00CF3FDE"/>
    <w:rsid w:val="00CF4955"/>
    <w:rsid w:val="00CF5563"/>
    <w:rsid w:val="00CF576E"/>
    <w:rsid w:val="00D00AC5"/>
    <w:rsid w:val="00D00B11"/>
    <w:rsid w:val="00D013BC"/>
    <w:rsid w:val="00D018AD"/>
    <w:rsid w:val="00D02758"/>
    <w:rsid w:val="00D03094"/>
    <w:rsid w:val="00D03475"/>
    <w:rsid w:val="00D0433E"/>
    <w:rsid w:val="00D04412"/>
    <w:rsid w:val="00D04868"/>
    <w:rsid w:val="00D06286"/>
    <w:rsid w:val="00D07861"/>
    <w:rsid w:val="00D104A3"/>
    <w:rsid w:val="00D10668"/>
    <w:rsid w:val="00D123DE"/>
    <w:rsid w:val="00D136D2"/>
    <w:rsid w:val="00D13966"/>
    <w:rsid w:val="00D15609"/>
    <w:rsid w:val="00D1582E"/>
    <w:rsid w:val="00D15CD8"/>
    <w:rsid w:val="00D15E18"/>
    <w:rsid w:val="00D15F4D"/>
    <w:rsid w:val="00D17527"/>
    <w:rsid w:val="00D17BA1"/>
    <w:rsid w:val="00D20054"/>
    <w:rsid w:val="00D2010F"/>
    <w:rsid w:val="00D2150A"/>
    <w:rsid w:val="00D21DA3"/>
    <w:rsid w:val="00D228CC"/>
    <w:rsid w:val="00D22BB0"/>
    <w:rsid w:val="00D23136"/>
    <w:rsid w:val="00D240DA"/>
    <w:rsid w:val="00D25B9A"/>
    <w:rsid w:val="00D25C94"/>
    <w:rsid w:val="00D260A0"/>
    <w:rsid w:val="00D27040"/>
    <w:rsid w:val="00D273BD"/>
    <w:rsid w:val="00D27529"/>
    <w:rsid w:val="00D300D2"/>
    <w:rsid w:val="00D301AB"/>
    <w:rsid w:val="00D30B40"/>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B4A"/>
    <w:rsid w:val="00D439EC"/>
    <w:rsid w:val="00D43C8A"/>
    <w:rsid w:val="00D44987"/>
    <w:rsid w:val="00D45837"/>
    <w:rsid w:val="00D45DB4"/>
    <w:rsid w:val="00D465AA"/>
    <w:rsid w:val="00D46F63"/>
    <w:rsid w:val="00D46FFA"/>
    <w:rsid w:val="00D47565"/>
    <w:rsid w:val="00D50105"/>
    <w:rsid w:val="00D501FE"/>
    <w:rsid w:val="00D50992"/>
    <w:rsid w:val="00D52BD0"/>
    <w:rsid w:val="00D5359F"/>
    <w:rsid w:val="00D5396B"/>
    <w:rsid w:val="00D54252"/>
    <w:rsid w:val="00D54DC3"/>
    <w:rsid w:val="00D55DBF"/>
    <w:rsid w:val="00D56687"/>
    <w:rsid w:val="00D57428"/>
    <w:rsid w:val="00D57611"/>
    <w:rsid w:val="00D60214"/>
    <w:rsid w:val="00D60D83"/>
    <w:rsid w:val="00D616BF"/>
    <w:rsid w:val="00D629F3"/>
    <w:rsid w:val="00D63D89"/>
    <w:rsid w:val="00D640E9"/>
    <w:rsid w:val="00D6513C"/>
    <w:rsid w:val="00D6683B"/>
    <w:rsid w:val="00D6749D"/>
    <w:rsid w:val="00D71187"/>
    <w:rsid w:val="00D7177E"/>
    <w:rsid w:val="00D72280"/>
    <w:rsid w:val="00D72CBC"/>
    <w:rsid w:val="00D72D0D"/>
    <w:rsid w:val="00D739A2"/>
    <w:rsid w:val="00D73FB0"/>
    <w:rsid w:val="00D754FC"/>
    <w:rsid w:val="00D77CDA"/>
    <w:rsid w:val="00D80DB4"/>
    <w:rsid w:val="00D82F0B"/>
    <w:rsid w:val="00D831D9"/>
    <w:rsid w:val="00D869B4"/>
    <w:rsid w:val="00D86F5F"/>
    <w:rsid w:val="00D9097B"/>
    <w:rsid w:val="00D91010"/>
    <w:rsid w:val="00D92B77"/>
    <w:rsid w:val="00D9317B"/>
    <w:rsid w:val="00D9458A"/>
    <w:rsid w:val="00D94AD9"/>
    <w:rsid w:val="00D94BB0"/>
    <w:rsid w:val="00D94F2D"/>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71E4"/>
    <w:rsid w:val="00DB794A"/>
    <w:rsid w:val="00DC0CC0"/>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A54"/>
    <w:rsid w:val="00DD4D84"/>
    <w:rsid w:val="00DD4FA8"/>
    <w:rsid w:val="00DD5795"/>
    <w:rsid w:val="00DD6897"/>
    <w:rsid w:val="00DD6E4B"/>
    <w:rsid w:val="00DD7E79"/>
    <w:rsid w:val="00DE0C38"/>
    <w:rsid w:val="00DE1284"/>
    <w:rsid w:val="00DE17DB"/>
    <w:rsid w:val="00DE1FC8"/>
    <w:rsid w:val="00DE2200"/>
    <w:rsid w:val="00DE340E"/>
    <w:rsid w:val="00DE3554"/>
    <w:rsid w:val="00DE40B0"/>
    <w:rsid w:val="00DE4E6D"/>
    <w:rsid w:val="00DE543C"/>
    <w:rsid w:val="00DE698C"/>
    <w:rsid w:val="00DE6C81"/>
    <w:rsid w:val="00DE7672"/>
    <w:rsid w:val="00DE7D3B"/>
    <w:rsid w:val="00DF12F4"/>
    <w:rsid w:val="00DF19EE"/>
    <w:rsid w:val="00DF258F"/>
    <w:rsid w:val="00DF38C7"/>
    <w:rsid w:val="00DF3AF1"/>
    <w:rsid w:val="00DF43E4"/>
    <w:rsid w:val="00DF44EA"/>
    <w:rsid w:val="00DF5276"/>
    <w:rsid w:val="00DF528E"/>
    <w:rsid w:val="00DF5C6E"/>
    <w:rsid w:val="00E0013E"/>
    <w:rsid w:val="00E00838"/>
    <w:rsid w:val="00E01117"/>
    <w:rsid w:val="00E03103"/>
    <w:rsid w:val="00E03ED9"/>
    <w:rsid w:val="00E04798"/>
    <w:rsid w:val="00E04C6A"/>
    <w:rsid w:val="00E050F3"/>
    <w:rsid w:val="00E069AF"/>
    <w:rsid w:val="00E079D5"/>
    <w:rsid w:val="00E1064A"/>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765"/>
    <w:rsid w:val="00E22767"/>
    <w:rsid w:val="00E2502F"/>
    <w:rsid w:val="00E25A53"/>
    <w:rsid w:val="00E2646C"/>
    <w:rsid w:val="00E26AEA"/>
    <w:rsid w:val="00E306DD"/>
    <w:rsid w:val="00E3169E"/>
    <w:rsid w:val="00E31C73"/>
    <w:rsid w:val="00E3225C"/>
    <w:rsid w:val="00E32402"/>
    <w:rsid w:val="00E33273"/>
    <w:rsid w:val="00E339FA"/>
    <w:rsid w:val="00E35222"/>
    <w:rsid w:val="00E36005"/>
    <w:rsid w:val="00E367A8"/>
    <w:rsid w:val="00E3683C"/>
    <w:rsid w:val="00E379B8"/>
    <w:rsid w:val="00E40C7E"/>
    <w:rsid w:val="00E40F89"/>
    <w:rsid w:val="00E41054"/>
    <w:rsid w:val="00E410CE"/>
    <w:rsid w:val="00E41267"/>
    <w:rsid w:val="00E418CC"/>
    <w:rsid w:val="00E419F9"/>
    <w:rsid w:val="00E423BD"/>
    <w:rsid w:val="00E427A5"/>
    <w:rsid w:val="00E42EF0"/>
    <w:rsid w:val="00E43DE7"/>
    <w:rsid w:val="00E4454D"/>
    <w:rsid w:val="00E45478"/>
    <w:rsid w:val="00E46264"/>
    <w:rsid w:val="00E46573"/>
    <w:rsid w:val="00E46CBE"/>
    <w:rsid w:val="00E50515"/>
    <w:rsid w:val="00E51019"/>
    <w:rsid w:val="00E511F4"/>
    <w:rsid w:val="00E52C2D"/>
    <w:rsid w:val="00E53CFF"/>
    <w:rsid w:val="00E54C3A"/>
    <w:rsid w:val="00E55166"/>
    <w:rsid w:val="00E563BD"/>
    <w:rsid w:val="00E56A62"/>
    <w:rsid w:val="00E56CAC"/>
    <w:rsid w:val="00E56E3C"/>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46A5"/>
    <w:rsid w:val="00E7492F"/>
    <w:rsid w:val="00E74A0F"/>
    <w:rsid w:val="00E74B89"/>
    <w:rsid w:val="00E74E15"/>
    <w:rsid w:val="00E74FBB"/>
    <w:rsid w:val="00E76038"/>
    <w:rsid w:val="00E76DDC"/>
    <w:rsid w:val="00E76F9F"/>
    <w:rsid w:val="00E8121D"/>
    <w:rsid w:val="00E81936"/>
    <w:rsid w:val="00E81A56"/>
    <w:rsid w:val="00E8214F"/>
    <w:rsid w:val="00E82B18"/>
    <w:rsid w:val="00E83802"/>
    <w:rsid w:val="00E84ED0"/>
    <w:rsid w:val="00E84F8A"/>
    <w:rsid w:val="00E854CF"/>
    <w:rsid w:val="00E85633"/>
    <w:rsid w:val="00E85DE1"/>
    <w:rsid w:val="00E85E3C"/>
    <w:rsid w:val="00E8655D"/>
    <w:rsid w:val="00E867C9"/>
    <w:rsid w:val="00E86932"/>
    <w:rsid w:val="00E87867"/>
    <w:rsid w:val="00E907E3"/>
    <w:rsid w:val="00E90865"/>
    <w:rsid w:val="00E90ABD"/>
    <w:rsid w:val="00E92ACD"/>
    <w:rsid w:val="00E933C9"/>
    <w:rsid w:val="00E934C7"/>
    <w:rsid w:val="00E943F7"/>
    <w:rsid w:val="00E9546D"/>
    <w:rsid w:val="00E96D2D"/>
    <w:rsid w:val="00E970A6"/>
    <w:rsid w:val="00E97688"/>
    <w:rsid w:val="00EA0B27"/>
    <w:rsid w:val="00EA0C9A"/>
    <w:rsid w:val="00EA2B02"/>
    <w:rsid w:val="00EA2D53"/>
    <w:rsid w:val="00EA4032"/>
    <w:rsid w:val="00EA6968"/>
    <w:rsid w:val="00EA6B91"/>
    <w:rsid w:val="00EA76DE"/>
    <w:rsid w:val="00EA795B"/>
    <w:rsid w:val="00EB0BD7"/>
    <w:rsid w:val="00EB14CD"/>
    <w:rsid w:val="00EB1F41"/>
    <w:rsid w:val="00EB28B4"/>
    <w:rsid w:val="00EB2A81"/>
    <w:rsid w:val="00EB353A"/>
    <w:rsid w:val="00EB359F"/>
    <w:rsid w:val="00EB361D"/>
    <w:rsid w:val="00EB3D60"/>
    <w:rsid w:val="00EB3FCE"/>
    <w:rsid w:val="00EB6C82"/>
    <w:rsid w:val="00EB755A"/>
    <w:rsid w:val="00EC2B9D"/>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29CB"/>
    <w:rsid w:val="00F02C88"/>
    <w:rsid w:val="00F0413F"/>
    <w:rsid w:val="00F049F6"/>
    <w:rsid w:val="00F05B05"/>
    <w:rsid w:val="00F05BC9"/>
    <w:rsid w:val="00F06739"/>
    <w:rsid w:val="00F10718"/>
    <w:rsid w:val="00F111AB"/>
    <w:rsid w:val="00F115B6"/>
    <w:rsid w:val="00F12318"/>
    <w:rsid w:val="00F13185"/>
    <w:rsid w:val="00F146DD"/>
    <w:rsid w:val="00F148F3"/>
    <w:rsid w:val="00F14ACC"/>
    <w:rsid w:val="00F14B08"/>
    <w:rsid w:val="00F14F32"/>
    <w:rsid w:val="00F15354"/>
    <w:rsid w:val="00F15E0B"/>
    <w:rsid w:val="00F16789"/>
    <w:rsid w:val="00F17A23"/>
    <w:rsid w:val="00F17F58"/>
    <w:rsid w:val="00F20301"/>
    <w:rsid w:val="00F222DA"/>
    <w:rsid w:val="00F22953"/>
    <w:rsid w:val="00F23598"/>
    <w:rsid w:val="00F242CF"/>
    <w:rsid w:val="00F249B3"/>
    <w:rsid w:val="00F24A56"/>
    <w:rsid w:val="00F25626"/>
    <w:rsid w:val="00F26C33"/>
    <w:rsid w:val="00F26C97"/>
    <w:rsid w:val="00F27164"/>
    <w:rsid w:val="00F2717A"/>
    <w:rsid w:val="00F3026A"/>
    <w:rsid w:val="00F307E6"/>
    <w:rsid w:val="00F319BC"/>
    <w:rsid w:val="00F331EE"/>
    <w:rsid w:val="00F338F2"/>
    <w:rsid w:val="00F33D14"/>
    <w:rsid w:val="00F34068"/>
    <w:rsid w:val="00F342DC"/>
    <w:rsid w:val="00F34829"/>
    <w:rsid w:val="00F348CD"/>
    <w:rsid w:val="00F37051"/>
    <w:rsid w:val="00F37E7A"/>
    <w:rsid w:val="00F40636"/>
    <w:rsid w:val="00F40C9E"/>
    <w:rsid w:val="00F40F2A"/>
    <w:rsid w:val="00F41723"/>
    <w:rsid w:val="00F421F6"/>
    <w:rsid w:val="00F42DC6"/>
    <w:rsid w:val="00F43A6E"/>
    <w:rsid w:val="00F43B70"/>
    <w:rsid w:val="00F44898"/>
    <w:rsid w:val="00F45239"/>
    <w:rsid w:val="00F466E6"/>
    <w:rsid w:val="00F47B5E"/>
    <w:rsid w:val="00F52C75"/>
    <w:rsid w:val="00F5324B"/>
    <w:rsid w:val="00F53FBB"/>
    <w:rsid w:val="00F543C4"/>
    <w:rsid w:val="00F55687"/>
    <w:rsid w:val="00F55830"/>
    <w:rsid w:val="00F55906"/>
    <w:rsid w:val="00F55F14"/>
    <w:rsid w:val="00F56318"/>
    <w:rsid w:val="00F5668C"/>
    <w:rsid w:val="00F56B49"/>
    <w:rsid w:val="00F57449"/>
    <w:rsid w:val="00F57CC7"/>
    <w:rsid w:val="00F60584"/>
    <w:rsid w:val="00F605CC"/>
    <w:rsid w:val="00F61D78"/>
    <w:rsid w:val="00F62ED3"/>
    <w:rsid w:val="00F63F08"/>
    <w:rsid w:val="00F65BC6"/>
    <w:rsid w:val="00F6691A"/>
    <w:rsid w:val="00F70049"/>
    <w:rsid w:val="00F716B7"/>
    <w:rsid w:val="00F71D6C"/>
    <w:rsid w:val="00F74F56"/>
    <w:rsid w:val="00F75E47"/>
    <w:rsid w:val="00F7620A"/>
    <w:rsid w:val="00F7700B"/>
    <w:rsid w:val="00F771EF"/>
    <w:rsid w:val="00F77DA1"/>
    <w:rsid w:val="00F82023"/>
    <w:rsid w:val="00F82BF5"/>
    <w:rsid w:val="00F83630"/>
    <w:rsid w:val="00F83ED3"/>
    <w:rsid w:val="00F83ED5"/>
    <w:rsid w:val="00F84B22"/>
    <w:rsid w:val="00F86A16"/>
    <w:rsid w:val="00F878E3"/>
    <w:rsid w:val="00F87AF3"/>
    <w:rsid w:val="00F91DF0"/>
    <w:rsid w:val="00F927E7"/>
    <w:rsid w:val="00F931BF"/>
    <w:rsid w:val="00F9333E"/>
    <w:rsid w:val="00F938C8"/>
    <w:rsid w:val="00F94914"/>
    <w:rsid w:val="00F95750"/>
    <w:rsid w:val="00F96F44"/>
    <w:rsid w:val="00F97534"/>
    <w:rsid w:val="00F977F5"/>
    <w:rsid w:val="00F97978"/>
    <w:rsid w:val="00F97A92"/>
    <w:rsid w:val="00FA0E9E"/>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33D4"/>
    <w:rsid w:val="00FB41C5"/>
    <w:rsid w:val="00FB511A"/>
    <w:rsid w:val="00FB67D6"/>
    <w:rsid w:val="00FB689B"/>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5D9"/>
    <w:rsid w:val="00FD2A0C"/>
    <w:rsid w:val="00FD4B86"/>
    <w:rsid w:val="00FD536C"/>
    <w:rsid w:val="00FD544F"/>
    <w:rsid w:val="00FD547A"/>
    <w:rsid w:val="00FD580E"/>
    <w:rsid w:val="00FD5EB7"/>
    <w:rsid w:val="00FD70CA"/>
    <w:rsid w:val="00FD7AEA"/>
    <w:rsid w:val="00FE01BA"/>
    <w:rsid w:val="00FE1980"/>
    <w:rsid w:val="00FE1BEA"/>
    <w:rsid w:val="00FE2708"/>
    <w:rsid w:val="00FE2A45"/>
    <w:rsid w:val="00FE2F09"/>
    <w:rsid w:val="00FE39B6"/>
    <w:rsid w:val="00FE3C6C"/>
    <w:rsid w:val="00FE4932"/>
    <w:rsid w:val="00FE6204"/>
    <w:rsid w:val="00FE73B8"/>
    <w:rsid w:val="00FE7718"/>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62928"/>
  <w14:defaultImageDpi w14:val="300"/>
  <w15:docId w15:val="{0BB701A7-756E-D042-91A1-A1A373E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hamoa standard"/>
    <w:qFormat/>
    <w:rsid w:val="008E5CAC"/>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490C"/>
    <w:pPr>
      <w:tabs>
        <w:tab w:val="center" w:pos="4536"/>
        <w:tab w:val="right" w:pos="9072"/>
      </w:tabs>
    </w:pPr>
  </w:style>
  <w:style w:type="paragraph" w:styleId="Fuzeile">
    <w:name w:val="footer"/>
    <w:basedOn w:val="Standard"/>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uiPriority w:val="39"/>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93987"/>
    <w:rPr>
      <w:rFonts w:ascii="Tahoma" w:hAnsi="Tahoma"/>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lger:Library:Application%20Support:Microsoft:Office:Benutzervorlagen:Meine%20Vorlagen:3text%20Textvorlage%20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2D2D-AC2B-AD43-A294-399045D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Macintosh%20HD:Users:Holger:Library:Application%20Support:Microsoft:Office:Benutzervorlagen:Meine%20Vorlagen:3text%20Textvorlage%202015.dotx</Template>
  <TotalTime>0</TotalTime>
  <Pages>3</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Communication GmbH</dc:creator>
  <cp:keywords/>
  <dc:description/>
  <cp:lastModifiedBy>Dominik Wiesner</cp:lastModifiedBy>
  <cp:revision>3</cp:revision>
  <cp:lastPrinted>2019-08-28T07:38:00Z</cp:lastPrinted>
  <dcterms:created xsi:type="dcterms:W3CDTF">2019-09-05T07:14:00Z</dcterms:created>
  <dcterms:modified xsi:type="dcterms:W3CDTF">2019-09-05T07:14:00Z</dcterms:modified>
  <cp:category/>
</cp:coreProperties>
</file>